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F6" w:rsidRPr="00D54223" w:rsidRDefault="00BD27F6" w:rsidP="00BD27F6">
      <w:pPr>
        <w:pBdr>
          <w:top w:val="single" w:sz="4" w:space="1" w:color="auto" w:shadow="1"/>
          <w:left w:val="single" w:sz="4" w:space="4" w:color="auto" w:shadow="1"/>
          <w:bottom w:val="single" w:sz="4" w:space="1" w:color="auto" w:shadow="1"/>
          <w:right w:val="single" w:sz="4" w:space="4" w:color="auto" w:shadow="1"/>
        </w:pBdr>
        <w:jc w:val="center"/>
      </w:pPr>
    </w:p>
    <w:p w:rsidR="006B6610" w:rsidRPr="004D7664" w:rsidRDefault="004D7664" w:rsidP="004D7664">
      <w:pPr>
        <w:pBdr>
          <w:top w:val="single" w:sz="4" w:space="1" w:color="auto" w:shadow="1"/>
          <w:left w:val="single" w:sz="4" w:space="4" w:color="auto" w:shadow="1"/>
          <w:bottom w:val="single" w:sz="4" w:space="1" w:color="auto" w:shadow="1"/>
          <w:right w:val="single" w:sz="4" w:space="4" w:color="auto" w:shadow="1"/>
        </w:pBdr>
        <w:jc w:val="center"/>
        <w:rPr>
          <w:b/>
          <w:sz w:val="48"/>
          <w:szCs w:val="48"/>
        </w:rPr>
      </w:pPr>
      <w:r w:rsidRPr="004D7664">
        <w:rPr>
          <w:b/>
          <w:sz w:val="48"/>
          <w:szCs w:val="48"/>
        </w:rPr>
        <w:t>Quelles sciences</w:t>
      </w:r>
      <w:r>
        <w:rPr>
          <w:b/>
          <w:sz w:val="48"/>
          <w:szCs w:val="48"/>
        </w:rPr>
        <w:t xml:space="preserve"> </w:t>
      </w:r>
      <w:r w:rsidRPr="004D7664">
        <w:rPr>
          <w:b/>
          <w:sz w:val="48"/>
          <w:szCs w:val="48"/>
        </w:rPr>
        <w:t>humaines et sociales pour le 21</w:t>
      </w:r>
      <w:r w:rsidRPr="000E4363">
        <w:rPr>
          <w:b/>
          <w:sz w:val="48"/>
          <w:szCs w:val="48"/>
          <w:vertAlign w:val="superscript"/>
        </w:rPr>
        <w:t>e</w:t>
      </w:r>
      <w:r w:rsidRPr="004D7664">
        <w:rPr>
          <w:b/>
          <w:sz w:val="48"/>
          <w:szCs w:val="48"/>
        </w:rPr>
        <w:t xml:space="preserve"> siècle</w:t>
      </w:r>
      <w:r>
        <w:rPr>
          <w:b/>
          <w:sz w:val="48"/>
          <w:szCs w:val="48"/>
        </w:rPr>
        <w:t> ?</w:t>
      </w:r>
    </w:p>
    <w:p w:rsidR="008923ED" w:rsidRPr="004D7664" w:rsidRDefault="004D7664" w:rsidP="004D7664">
      <w:pPr>
        <w:pBdr>
          <w:top w:val="single" w:sz="4" w:space="1" w:color="auto" w:shadow="1"/>
          <w:left w:val="single" w:sz="4" w:space="4" w:color="auto" w:shadow="1"/>
          <w:bottom w:val="single" w:sz="4" w:space="1" w:color="auto" w:shadow="1"/>
          <w:right w:val="single" w:sz="4" w:space="4" w:color="auto" w:shadow="1"/>
        </w:pBdr>
        <w:spacing w:before="120"/>
        <w:jc w:val="center"/>
        <w:rPr>
          <w:b/>
          <w:sz w:val="48"/>
          <w:szCs w:val="48"/>
        </w:rPr>
      </w:pPr>
      <w:r w:rsidRPr="004D7664">
        <w:rPr>
          <w:b/>
          <w:sz w:val="48"/>
          <w:szCs w:val="48"/>
        </w:rPr>
        <w:t>6 et 7 décembre 2012</w:t>
      </w:r>
    </w:p>
    <w:p w:rsidR="00BD27F6" w:rsidRPr="00D54223" w:rsidRDefault="00BD27F6" w:rsidP="00BD27F6">
      <w:pPr>
        <w:pBdr>
          <w:top w:val="single" w:sz="4" w:space="1" w:color="auto" w:shadow="1"/>
          <w:left w:val="single" w:sz="4" w:space="4" w:color="auto" w:shadow="1"/>
          <w:bottom w:val="single" w:sz="4" w:space="1" w:color="auto" w:shadow="1"/>
          <w:right w:val="single" w:sz="4" w:space="4" w:color="auto" w:shadow="1"/>
        </w:pBdr>
        <w:jc w:val="center"/>
      </w:pPr>
    </w:p>
    <w:p w:rsidR="00BD27F6" w:rsidRPr="00D54223" w:rsidRDefault="00BD27F6" w:rsidP="00472DCD">
      <w:pPr>
        <w:spacing w:before="480" w:after="360"/>
        <w:jc w:val="center"/>
        <w:rPr>
          <w:b/>
          <w:sz w:val="36"/>
          <w:szCs w:val="36"/>
        </w:rPr>
      </w:pPr>
      <w:r w:rsidRPr="00D54223">
        <w:rPr>
          <w:b/>
          <w:sz w:val="36"/>
          <w:szCs w:val="36"/>
        </w:rPr>
        <w:t>***</w:t>
      </w:r>
      <w:r w:rsidRPr="00D54223">
        <w:rPr>
          <w:b/>
          <w:caps/>
          <w:sz w:val="36"/>
          <w:szCs w:val="36"/>
        </w:rPr>
        <w:t>Appel à communication</w:t>
      </w:r>
      <w:r w:rsidRPr="00D54223">
        <w:rPr>
          <w:b/>
          <w:sz w:val="36"/>
          <w:szCs w:val="36"/>
        </w:rPr>
        <w:t>***</w:t>
      </w:r>
    </w:p>
    <w:p w:rsidR="000E4363" w:rsidRDefault="000E4363" w:rsidP="000E4363">
      <w:pPr>
        <w:jc w:val="both"/>
      </w:pPr>
      <w:r>
        <w:t>La recherche en sciences humaines et sociales a connu dans le dernier demi siècle des évolutions considérables. Presque tout en fait a bougé : la réalité des sociétés, les constructions théoriques, les méthodes, les façons de travailler, l’organisation de la recherche, les institutions qui portent et structurent la recherche.</w:t>
      </w:r>
    </w:p>
    <w:p w:rsidR="000E4363" w:rsidRDefault="000E4363" w:rsidP="000E4363">
      <w:pPr>
        <w:spacing w:before="120"/>
        <w:jc w:val="both"/>
      </w:pPr>
      <w:r>
        <w:t xml:space="preserve">Dans ce vaste mouvement, la connaissance s’est élargie, approfondie, en même temps que grandissait la perception que les </w:t>
      </w:r>
      <w:r w:rsidRPr="004E3053">
        <w:rPr>
          <w:i/>
        </w:rPr>
        <w:t>terra</w:t>
      </w:r>
      <w:r w:rsidR="003C34FD">
        <w:rPr>
          <w:i/>
        </w:rPr>
        <w:t>e</w:t>
      </w:r>
      <w:r w:rsidRPr="004E3053">
        <w:rPr>
          <w:i/>
        </w:rPr>
        <w:t xml:space="preserve"> incognita</w:t>
      </w:r>
      <w:r w:rsidR="003C34FD">
        <w:rPr>
          <w:i/>
        </w:rPr>
        <w:t>e</w:t>
      </w:r>
      <w:bookmarkStart w:id="0" w:name="_GoBack"/>
      <w:bookmarkEnd w:id="0"/>
      <w:r>
        <w:t xml:space="preserve"> demeuraient nombreuses, les connexions et les interactions plus importantes et essentielles.</w:t>
      </w:r>
    </w:p>
    <w:p w:rsidR="000E4363" w:rsidRDefault="000E4363" w:rsidP="000E4363">
      <w:pPr>
        <w:spacing w:before="120"/>
        <w:jc w:val="both"/>
      </w:pPr>
      <w:r>
        <w:t>Des limites de compréhension ont été repoussées, de nouvelles lignes d’horizon sont apparues. Dans ce processus de connaissance par agrégations, bonds, et ruptures, les échanges entre disciplines de la première moitié du 20</w:t>
      </w:r>
      <w:r w:rsidRPr="000E4363">
        <w:rPr>
          <w:vertAlign w:val="superscript"/>
        </w:rPr>
        <w:t>e</w:t>
      </w:r>
      <w:r>
        <w:t xml:space="preserve"> siècle se sont multipliés, ils ont suscité des évolutions internes aux disciplines mais également des approches pluridisciplinaires et interdisciplinaires sous les formes les plus variées.</w:t>
      </w:r>
    </w:p>
    <w:p w:rsidR="000E4363" w:rsidRDefault="000E4363" w:rsidP="000E4363">
      <w:pPr>
        <w:spacing w:before="120"/>
        <w:jc w:val="both"/>
      </w:pPr>
      <w:r>
        <w:t xml:space="preserve">Le Réseau National des </w:t>
      </w:r>
      <w:r w:rsidRPr="0079049E">
        <w:t>Maison</w:t>
      </w:r>
      <w:r>
        <w:t>s</w:t>
      </w:r>
      <w:r w:rsidRPr="0079049E">
        <w:t xml:space="preserve"> des Sciences de l’Homme </w:t>
      </w:r>
      <w:r>
        <w:t>(RNMSH) est né dans ce mouvement et de ce mouvement. C’est pourquoi il organise, en collaboration avec la Maison de la Recherche en Sciences Humaines (MRSH), un congrès national pour inviter toute la communauté de recherche en sciences humaines et sociales à un moment de réflexion</w:t>
      </w:r>
      <w:r w:rsidRPr="000E4363">
        <w:t xml:space="preserve"> </w:t>
      </w:r>
      <w:r>
        <w:t>sur l’avenir des sciences humaines et sociales dans le nouveau paysage de la recherche et la société. Quelles sciences humaines et sociales se fabriquent dans nos laboratoires, à nos tables de travail, dans nos échanges et nos maisons de la recherche</w:t>
      </w:r>
      <w:r w:rsidR="00FF3432">
        <w:t> ?</w:t>
      </w:r>
      <w:r>
        <w:t xml:space="preserve"> Quelles grandes traces, en particulier pluridisciplinaires</w:t>
      </w:r>
      <w:r w:rsidR="00FF3432">
        <w:t xml:space="preserve"> et interdisciplinaires</w:t>
      </w:r>
      <w:r>
        <w:t>, les cinquante dernières années ont-elles laissé</w:t>
      </w:r>
      <w:r w:rsidR="00FF3432">
        <w:t> ?</w:t>
      </w:r>
      <w:r>
        <w:t xml:space="preserve"> Quelles directions prennent-elles pour le siècle qui s’ouvre ?</w:t>
      </w:r>
    </w:p>
    <w:p w:rsidR="004E3053" w:rsidRDefault="004E3053" w:rsidP="000E4363">
      <w:pPr>
        <w:spacing w:before="120"/>
        <w:jc w:val="both"/>
      </w:pPr>
      <w:r>
        <w:t xml:space="preserve">Dans le cadre de ce congrès, nous invitons </w:t>
      </w:r>
      <w:r w:rsidR="00EC4B98">
        <w:t xml:space="preserve">tous les chercheurs et enseignants-chercheurs ayant développé un projet de recherche interdisciplinaire au sein d’une maison des sciences de l’homme du réseau national des MSH, </w:t>
      </w:r>
      <w:r>
        <w:t xml:space="preserve">à soumettre une communication affichée </w:t>
      </w:r>
      <w:r w:rsidR="00EC4B98">
        <w:t xml:space="preserve">présentant leurs travaux </w:t>
      </w:r>
      <w:r>
        <w:t>avant le</w:t>
      </w:r>
      <w:r w:rsidR="00EC4B98">
        <w:t xml:space="preserve"> </w:t>
      </w:r>
      <w:r w:rsidR="00EC4B98" w:rsidRPr="00EC4B98">
        <w:rPr>
          <w:b/>
          <w:u w:val="single"/>
        </w:rPr>
        <w:t>vendredi 29 juin 2012</w:t>
      </w:r>
      <w:r>
        <w:t>.</w:t>
      </w:r>
      <w:r w:rsidR="00423EC3">
        <w:t xml:space="preserve"> </w:t>
      </w:r>
      <w:r w:rsidR="00423EC3" w:rsidRPr="00423EC3">
        <w:t>Les propositions à communication doivent être adressées à l’adresse mail</w:t>
      </w:r>
      <w:r w:rsidR="00423EC3">
        <w:t> : gilles.dewailly@msh-paris.fr.</w:t>
      </w:r>
    </w:p>
    <w:p w:rsidR="00ED3AAF" w:rsidRPr="00D54223" w:rsidRDefault="00ED3AAF" w:rsidP="0025322B">
      <w:pPr>
        <w:spacing w:before="240" w:after="120"/>
        <w:jc w:val="both"/>
        <w:rPr>
          <w:b/>
          <w:i/>
        </w:rPr>
      </w:pPr>
      <w:r w:rsidRPr="00D54223">
        <w:rPr>
          <w:b/>
          <w:i/>
        </w:rPr>
        <w:t>C</w:t>
      </w:r>
      <w:r w:rsidR="001C4C7C" w:rsidRPr="00D54223">
        <w:rPr>
          <w:b/>
          <w:i/>
        </w:rPr>
        <w:t>ALENDRIER</w:t>
      </w:r>
    </w:p>
    <w:tbl>
      <w:tblPr>
        <w:tblW w:w="0" w:type="auto"/>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5920"/>
        <w:gridCol w:w="2835"/>
      </w:tblGrid>
      <w:tr w:rsidR="004D7664" w:rsidRPr="00D54223" w:rsidTr="00747837">
        <w:tc>
          <w:tcPr>
            <w:tcW w:w="5920" w:type="dxa"/>
            <w:tcBorders>
              <w:top w:val="double" w:sz="4" w:space="0" w:color="auto"/>
              <w:bottom w:val="single" w:sz="4" w:space="0" w:color="auto"/>
            </w:tcBorders>
            <w:shd w:val="clear" w:color="auto" w:fill="A6A6A6"/>
          </w:tcPr>
          <w:p w:rsidR="004D7664" w:rsidRPr="00D54223" w:rsidRDefault="004D7664" w:rsidP="00CB33C1">
            <w:r>
              <w:t>Date de lancement de l’appel à communication</w:t>
            </w:r>
          </w:p>
        </w:tc>
        <w:tc>
          <w:tcPr>
            <w:tcW w:w="2835" w:type="dxa"/>
            <w:tcBorders>
              <w:top w:val="double" w:sz="4" w:space="0" w:color="auto"/>
              <w:bottom w:val="single" w:sz="4" w:space="0" w:color="auto"/>
            </w:tcBorders>
            <w:shd w:val="clear" w:color="auto" w:fill="A6A6A6"/>
          </w:tcPr>
          <w:p w:rsidR="004D7664" w:rsidRDefault="004E3053" w:rsidP="004E3053">
            <w:r>
              <w:t>3</w:t>
            </w:r>
            <w:r w:rsidR="00747837">
              <w:t xml:space="preserve"> </w:t>
            </w:r>
            <w:r>
              <w:t>mai</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auto"/>
          </w:tcPr>
          <w:p w:rsidR="00747837" w:rsidRPr="00D54223" w:rsidRDefault="00747837" w:rsidP="009E5A76">
            <w:r w:rsidRPr="00D54223">
              <w:t>Date limite des soumissions :</w:t>
            </w:r>
          </w:p>
        </w:tc>
        <w:tc>
          <w:tcPr>
            <w:tcW w:w="2835" w:type="dxa"/>
            <w:tcBorders>
              <w:top w:val="single" w:sz="4" w:space="0" w:color="auto"/>
              <w:bottom w:val="single" w:sz="4" w:space="0" w:color="auto"/>
            </w:tcBorders>
            <w:shd w:val="clear" w:color="auto" w:fill="auto"/>
          </w:tcPr>
          <w:p w:rsidR="00747837" w:rsidRPr="00D54223" w:rsidRDefault="00950050" w:rsidP="007302A8">
            <w:r>
              <w:t>2</w:t>
            </w:r>
            <w:r w:rsidR="004E3053">
              <w:t>9</w:t>
            </w:r>
            <w:r w:rsidR="00747837">
              <w:t xml:space="preserve"> </w:t>
            </w:r>
            <w:r w:rsidR="007302A8">
              <w:t>juin</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999999"/>
          </w:tcPr>
          <w:p w:rsidR="00747837" w:rsidRDefault="00747837" w:rsidP="00CB33C1">
            <w:r>
              <w:t>Ventilation des expertises</w:t>
            </w:r>
          </w:p>
        </w:tc>
        <w:tc>
          <w:tcPr>
            <w:tcW w:w="2835" w:type="dxa"/>
            <w:tcBorders>
              <w:top w:val="single" w:sz="4" w:space="0" w:color="auto"/>
              <w:bottom w:val="single" w:sz="4" w:space="0" w:color="auto"/>
            </w:tcBorders>
            <w:shd w:val="clear" w:color="auto" w:fill="999999"/>
          </w:tcPr>
          <w:p w:rsidR="00747837" w:rsidRDefault="007302A8" w:rsidP="007302A8">
            <w:r>
              <w:t>2-6</w:t>
            </w:r>
            <w:r w:rsidR="00747837">
              <w:t xml:space="preserve"> </w:t>
            </w:r>
            <w:r>
              <w:t>juillet</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FFFFFF"/>
          </w:tcPr>
          <w:p w:rsidR="00747837" w:rsidRPr="00D54223" w:rsidRDefault="00747837" w:rsidP="00CB33C1">
            <w:r>
              <w:t>Expertises</w:t>
            </w:r>
          </w:p>
        </w:tc>
        <w:tc>
          <w:tcPr>
            <w:tcW w:w="2835" w:type="dxa"/>
            <w:tcBorders>
              <w:top w:val="single" w:sz="4" w:space="0" w:color="auto"/>
              <w:bottom w:val="single" w:sz="4" w:space="0" w:color="auto"/>
            </w:tcBorders>
            <w:shd w:val="clear" w:color="auto" w:fill="FFFFFF"/>
          </w:tcPr>
          <w:p w:rsidR="00747837" w:rsidRPr="00D54223" w:rsidRDefault="007302A8" w:rsidP="007302A8">
            <w:r>
              <w:t>9</w:t>
            </w:r>
            <w:r w:rsidR="00950050">
              <w:t xml:space="preserve"> </w:t>
            </w:r>
            <w:r>
              <w:t>juillet – 20 août</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A6A6A6"/>
          </w:tcPr>
          <w:p w:rsidR="00747837" w:rsidRPr="00D54223" w:rsidRDefault="00747837" w:rsidP="00CB33C1">
            <w:r>
              <w:t>Décision du CS</w:t>
            </w:r>
          </w:p>
        </w:tc>
        <w:tc>
          <w:tcPr>
            <w:tcW w:w="2835" w:type="dxa"/>
            <w:tcBorders>
              <w:top w:val="single" w:sz="4" w:space="0" w:color="auto"/>
              <w:bottom w:val="single" w:sz="4" w:space="0" w:color="auto"/>
            </w:tcBorders>
            <w:shd w:val="clear" w:color="auto" w:fill="A6A6A6"/>
          </w:tcPr>
          <w:p w:rsidR="00747837" w:rsidRPr="00D54223" w:rsidRDefault="007302A8" w:rsidP="00CB33C1">
            <w:r>
              <w:t>24 août</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FFFFFF"/>
          </w:tcPr>
          <w:p w:rsidR="00747837" w:rsidRPr="00747837" w:rsidRDefault="00747837" w:rsidP="00CB33C1">
            <w:r w:rsidRPr="00747837">
              <w:t>Notification (Retour aux auteurs) :</w:t>
            </w:r>
          </w:p>
        </w:tc>
        <w:tc>
          <w:tcPr>
            <w:tcW w:w="2835" w:type="dxa"/>
            <w:tcBorders>
              <w:top w:val="single" w:sz="4" w:space="0" w:color="auto"/>
              <w:bottom w:val="single" w:sz="4" w:space="0" w:color="auto"/>
            </w:tcBorders>
            <w:shd w:val="clear" w:color="auto" w:fill="FFFFFF"/>
          </w:tcPr>
          <w:p w:rsidR="00747837" w:rsidRPr="00D54223" w:rsidRDefault="007302A8" w:rsidP="00CB33C1">
            <w:r>
              <w:t>27 août</w:t>
            </w:r>
            <w:r w:rsidR="00747837">
              <w:t xml:space="preserve"> 2012</w:t>
            </w:r>
          </w:p>
        </w:tc>
      </w:tr>
      <w:tr w:rsidR="00747837" w:rsidRPr="00D54223" w:rsidTr="00747837">
        <w:tc>
          <w:tcPr>
            <w:tcW w:w="5920" w:type="dxa"/>
            <w:tcBorders>
              <w:top w:val="single" w:sz="4" w:space="0" w:color="auto"/>
              <w:bottom w:val="single" w:sz="4" w:space="0" w:color="auto"/>
            </w:tcBorders>
            <w:shd w:val="clear" w:color="auto" w:fill="A6A6A6"/>
          </w:tcPr>
          <w:p w:rsidR="00747837" w:rsidRPr="00D54223" w:rsidRDefault="00747837" w:rsidP="00CB33C1">
            <w:r w:rsidRPr="00D54223">
              <w:t>Date limite d’envoi de la version finale :</w:t>
            </w:r>
          </w:p>
        </w:tc>
        <w:tc>
          <w:tcPr>
            <w:tcW w:w="2835" w:type="dxa"/>
            <w:tcBorders>
              <w:top w:val="single" w:sz="4" w:space="0" w:color="auto"/>
              <w:bottom w:val="single" w:sz="4" w:space="0" w:color="auto"/>
            </w:tcBorders>
            <w:shd w:val="clear" w:color="auto" w:fill="A6A6A6"/>
          </w:tcPr>
          <w:p w:rsidR="00747837" w:rsidRPr="00D54223" w:rsidRDefault="007302A8" w:rsidP="00CB33C1">
            <w:r>
              <w:t>1</w:t>
            </w:r>
            <w:r w:rsidRPr="007302A8">
              <w:rPr>
                <w:vertAlign w:val="superscript"/>
              </w:rPr>
              <w:t>er</w:t>
            </w:r>
            <w:r>
              <w:t xml:space="preserve"> octobre</w:t>
            </w:r>
            <w:r w:rsidR="00747837">
              <w:t xml:space="preserve"> 2012</w:t>
            </w:r>
          </w:p>
        </w:tc>
      </w:tr>
      <w:tr w:rsidR="00747837" w:rsidRPr="00D54223" w:rsidTr="00747837">
        <w:tc>
          <w:tcPr>
            <w:tcW w:w="5920" w:type="dxa"/>
            <w:tcBorders>
              <w:top w:val="single" w:sz="4" w:space="0" w:color="auto"/>
              <w:bottom w:val="double" w:sz="4" w:space="0" w:color="auto"/>
            </w:tcBorders>
            <w:shd w:val="clear" w:color="auto" w:fill="FFFFFF"/>
          </w:tcPr>
          <w:p w:rsidR="00747837" w:rsidRPr="00D54223" w:rsidRDefault="00747837" w:rsidP="00CB33C1">
            <w:r w:rsidRPr="00D54223">
              <w:t>Diffusion du programme définitif :</w:t>
            </w:r>
          </w:p>
        </w:tc>
        <w:tc>
          <w:tcPr>
            <w:tcW w:w="2835" w:type="dxa"/>
            <w:tcBorders>
              <w:top w:val="single" w:sz="4" w:space="0" w:color="auto"/>
              <w:bottom w:val="double" w:sz="4" w:space="0" w:color="auto"/>
            </w:tcBorders>
            <w:shd w:val="clear" w:color="auto" w:fill="FFFFFF"/>
          </w:tcPr>
          <w:p w:rsidR="00747837" w:rsidRPr="00D54223" w:rsidRDefault="007302A8" w:rsidP="00CB33C1">
            <w:r>
              <w:t>26 octobre</w:t>
            </w:r>
            <w:r w:rsidR="00950050">
              <w:t xml:space="preserve"> 2012</w:t>
            </w:r>
          </w:p>
        </w:tc>
      </w:tr>
    </w:tbl>
    <w:p w:rsidR="00ED3AAF" w:rsidRPr="00D54223" w:rsidRDefault="00ED3AAF" w:rsidP="00EC4B98">
      <w:pPr>
        <w:spacing w:before="360" w:after="60"/>
        <w:jc w:val="both"/>
        <w:rPr>
          <w:b/>
          <w:i/>
        </w:rPr>
      </w:pPr>
      <w:r w:rsidRPr="00D54223">
        <w:rPr>
          <w:b/>
          <w:i/>
        </w:rPr>
        <w:lastRenderedPageBreak/>
        <w:t>I</w:t>
      </w:r>
      <w:r w:rsidR="001C4C7C" w:rsidRPr="00D54223">
        <w:rPr>
          <w:b/>
          <w:i/>
        </w:rPr>
        <w:t>NSTRUCTIONS AUX AUTEURS</w:t>
      </w:r>
    </w:p>
    <w:p w:rsidR="007D33D3" w:rsidRPr="00D54223" w:rsidRDefault="004D7664" w:rsidP="00693FE5">
      <w:pPr>
        <w:jc w:val="both"/>
      </w:pPr>
      <w:r>
        <w:t>Un seul type</w:t>
      </w:r>
      <w:r w:rsidR="007D33D3" w:rsidRPr="00D54223">
        <w:t xml:space="preserve"> de communication</w:t>
      </w:r>
      <w:r w:rsidR="00643606" w:rsidRPr="00D54223">
        <w:t>s</w:t>
      </w:r>
      <w:r w:rsidR="007D33D3" w:rsidRPr="00D54223">
        <w:t xml:space="preserve"> peut être proposé</w:t>
      </w:r>
      <w:r w:rsidR="00747837">
        <w:t xml:space="preserve"> : </w:t>
      </w:r>
      <w:r w:rsidR="00E540BC" w:rsidRPr="00D54223">
        <w:t>Les c</w:t>
      </w:r>
      <w:r w:rsidR="007D33D3" w:rsidRPr="00D54223">
        <w:t>ommunication</w:t>
      </w:r>
      <w:r w:rsidR="00643606" w:rsidRPr="00D54223">
        <w:t>s</w:t>
      </w:r>
      <w:r w:rsidR="007D33D3" w:rsidRPr="00D54223">
        <w:t xml:space="preserve"> affichée</w:t>
      </w:r>
      <w:r w:rsidR="00643606" w:rsidRPr="00D54223">
        <w:t>s</w:t>
      </w:r>
      <w:r w:rsidR="007D33D3" w:rsidRPr="00D54223">
        <w:t xml:space="preserve"> (Posters)</w:t>
      </w:r>
      <w:r w:rsidR="00693FE5">
        <w:t xml:space="preserve"> – </w:t>
      </w:r>
      <w:r w:rsidR="004C2376" w:rsidRPr="00D54223">
        <w:t>Format</w:t>
      </w:r>
      <w:r w:rsidR="00693FE5">
        <w:t xml:space="preserve"> </w:t>
      </w:r>
      <w:r w:rsidR="004C2376" w:rsidRPr="00D54223">
        <w:t xml:space="preserve">Portrait A0 (841 mm </w:t>
      </w:r>
      <w:r w:rsidR="006C36AE" w:rsidRPr="00D54223">
        <w:t>x</w:t>
      </w:r>
      <w:r w:rsidR="004C2376" w:rsidRPr="00D54223">
        <w:t xml:space="preserve"> </w:t>
      </w:r>
      <w:r w:rsidR="006C36AE" w:rsidRPr="00D54223">
        <w:t>1189</w:t>
      </w:r>
      <w:r w:rsidR="004C2376" w:rsidRPr="00D54223">
        <w:t xml:space="preserve"> </w:t>
      </w:r>
      <w:r w:rsidR="006C36AE" w:rsidRPr="00D54223">
        <w:t>mm)</w:t>
      </w:r>
    </w:p>
    <w:p w:rsidR="00401FDE" w:rsidRPr="00D54223" w:rsidRDefault="00401FDE" w:rsidP="00EC4B98">
      <w:pPr>
        <w:spacing w:before="60"/>
        <w:jc w:val="both"/>
      </w:pPr>
      <w:r w:rsidRPr="00D54223">
        <w:t xml:space="preserve">Le premier auteur doit être le communicant et ce dernier doit être inscrit </w:t>
      </w:r>
      <w:r w:rsidRPr="005E144F">
        <w:rPr>
          <w:b/>
          <w:u w:val="single"/>
        </w:rPr>
        <w:t xml:space="preserve">avant le </w:t>
      </w:r>
      <w:r w:rsidR="00693FE5" w:rsidRPr="005E144F">
        <w:rPr>
          <w:b/>
          <w:u w:val="single"/>
        </w:rPr>
        <w:t>1</w:t>
      </w:r>
      <w:r w:rsidR="00EC4B98">
        <w:rPr>
          <w:b/>
          <w:u w:val="single"/>
        </w:rPr>
        <w:t>9</w:t>
      </w:r>
      <w:r w:rsidR="00693FE5" w:rsidRPr="005E144F">
        <w:rPr>
          <w:b/>
          <w:u w:val="single"/>
        </w:rPr>
        <w:t xml:space="preserve"> </w:t>
      </w:r>
      <w:r w:rsidR="00EC4B98">
        <w:rPr>
          <w:b/>
          <w:u w:val="single"/>
        </w:rPr>
        <w:t>octobre</w:t>
      </w:r>
      <w:r w:rsidR="00693FE5" w:rsidRPr="005E144F">
        <w:rPr>
          <w:b/>
          <w:u w:val="single"/>
        </w:rPr>
        <w:t xml:space="preserve"> 2012</w:t>
      </w:r>
      <w:r w:rsidRPr="00D54223">
        <w:t xml:space="preserve"> pour que son résumé soit édité dans le recueil des résumés distribués à tous les congressistes.</w:t>
      </w:r>
    </w:p>
    <w:p w:rsidR="00ED3AAF" w:rsidRPr="00D54223" w:rsidRDefault="0094684C" w:rsidP="00EC4B98">
      <w:pPr>
        <w:spacing w:before="240" w:after="60"/>
        <w:jc w:val="both"/>
        <w:rPr>
          <w:b/>
          <w:i/>
        </w:rPr>
      </w:pPr>
      <w:r w:rsidRPr="00D54223">
        <w:rPr>
          <w:b/>
          <w:i/>
        </w:rPr>
        <w:t>G</w:t>
      </w:r>
      <w:r w:rsidR="001C4C7C" w:rsidRPr="00D54223">
        <w:rPr>
          <w:b/>
          <w:i/>
        </w:rPr>
        <w:t>UIDE DE SOUMISSION DES RESUMES</w:t>
      </w:r>
    </w:p>
    <w:p w:rsidR="00466CFC" w:rsidRPr="00D54223" w:rsidRDefault="00466CFC" w:rsidP="00893347">
      <w:pPr>
        <w:jc w:val="both"/>
      </w:pPr>
      <w:r w:rsidRPr="00D54223">
        <w:t xml:space="preserve">Les posters seront affichés pendant toute la durée </w:t>
      </w:r>
      <w:r w:rsidR="00893347">
        <w:t>du congrès</w:t>
      </w:r>
      <w:r w:rsidRPr="00D54223">
        <w:t xml:space="preserve"> mais un temps </w:t>
      </w:r>
      <w:r w:rsidR="00893347">
        <w:t xml:space="preserve">d’une </w:t>
      </w:r>
      <w:r w:rsidRPr="00D54223">
        <w:t>heure</w:t>
      </w:r>
      <w:r w:rsidR="00893347">
        <w:t xml:space="preserve"> trente</w:t>
      </w:r>
      <w:r w:rsidRPr="00D54223">
        <w:t xml:space="preserve"> est consacré spécifiquement à la discussion autour des Posters. Un espace </w:t>
      </w:r>
      <w:r w:rsidR="00EC4B98">
        <w:t>d’environ 1 m²</w:t>
      </w:r>
      <w:r w:rsidRPr="00D54223">
        <w:t xml:space="preserve"> </w:t>
      </w:r>
      <w:r w:rsidR="00893347">
        <w:t>sera</w:t>
      </w:r>
      <w:r w:rsidRPr="00D54223">
        <w:t xml:space="preserve"> disponible pour chaque Poster.</w:t>
      </w:r>
      <w:r w:rsidR="00F91503">
        <w:t xml:space="preserve"> Les posters devront présenter un projet de recherche</w:t>
      </w:r>
      <w:r w:rsidR="005E144F">
        <w:t xml:space="preserve"> à venir, en cours de réalisation ou déjà achevé impliquant les sciences humaines et sociales. Le comité scientifique privilégiera la pluri- et l’interdisciplinarité</w:t>
      </w:r>
      <w:r w:rsidR="00F91503">
        <w:t>.</w:t>
      </w:r>
    </w:p>
    <w:p w:rsidR="00466CFC" w:rsidRPr="00EC4B98" w:rsidRDefault="00514115" w:rsidP="00EC4B98">
      <w:pPr>
        <w:spacing w:before="240" w:after="60"/>
        <w:jc w:val="both"/>
        <w:rPr>
          <w:b/>
          <w:i/>
          <w:caps/>
        </w:rPr>
      </w:pPr>
      <w:r w:rsidRPr="00EC4B98">
        <w:rPr>
          <w:b/>
          <w:i/>
          <w:caps/>
        </w:rPr>
        <w:t>Consignes aux aut</w:t>
      </w:r>
      <w:r w:rsidR="00332978" w:rsidRPr="00EC4B98">
        <w:rPr>
          <w:b/>
          <w:i/>
          <w:caps/>
        </w:rPr>
        <w:t xml:space="preserve">eurs et Format de mise en page </w:t>
      </w:r>
      <w:r w:rsidRPr="00EC4B98">
        <w:rPr>
          <w:b/>
          <w:i/>
          <w:caps/>
        </w:rPr>
        <w:t>pour la proposition de communication</w:t>
      </w:r>
    </w:p>
    <w:p w:rsidR="00E16E09" w:rsidRPr="00D54223" w:rsidRDefault="00543E91" w:rsidP="00466CFC">
      <w:pPr>
        <w:jc w:val="both"/>
      </w:pPr>
      <w:r w:rsidRPr="00D54223">
        <w:t>Les</w:t>
      </w:r>
      <w:r w:rsidR="00E16E09" w:rsidRPr="00D54223">
        <w:t xml:space="preserve"> communication</w:t>
      </w:r>
      <w:r w:rsidRPr="00D54223">
        <w:t>s</w:t>
      </w:r>
      <w:r w:rsidR="00E16E09" w:rsidRPr="00D54223">
        <w:t xml:space="preserve"> </w:t>
      </w:r>
      <w:r w:rsidRPr="00D54223">
        <w:t>doivent</w:t>
      </w:r>
      <w:r w:rsidR="00E16E09" w:rsidRPr="00D54223">
        <w:t xml:space="preserve"> comprendre </w:t>
      </w:r>
      <w:r w:rsidR="006103DA">
        <w:t>deux</w:t>
      </w:r>
      <w:r w:rsidR="00CC7B57" w:rsidRPr="00D54223">
        <w:t xml:space="preserve"> page</w:t>
      </w:r>
      <w:r w:rsidR="006103DA">
        <w:t>s</w:t>
      </w:r>
      <w:r w:rsidR="00CC7B57" w:rsidRPr="00D54223">
        <w:t xml:space="preserve"> de </w:t>
      </w:r>
      <w:r w:rsidR="00E16E09" w:rsidRPr="00D54223">
        <w:t xml:space="preserve">résumé </w:t>
      </w:r>
      <w:r w:rsidR="00540021">
        <w:t xml:space="preserve">maximum </w:t>
      </w:r>
      <w:r w:rsidR="00CC7B57" w:rsidRPr="00D54223">
        <w:t>(cf. modèle ou instructions ci-dessous)</w:t>
      </w:r>
      <w:r w:rsidR="00DA1201" w:rsidRPr="00D54223">
        <w:t xml:space="preserve"> en format A4 (210 mm x 297 mm), police Time New Roman </w:t>
      </w:r>
      <w:r w:rsidR="00DA1201" w:rsidRPr="00392F6B">
        <w:t>12 points</w:t>
      </w:r>
      <w:r w:rsidR="00DA1201" w:rsidRPr="00D54223">
        <w:t>, interligne simple, marges 2 cm (bas,</w:t>
      </w:r>
      <w:r w:rsidR="00392F6B">
        <w:t xml:space="preserve"> haut, droite) et 3 cm (gauche)</w:t>
      </w:r>
      <w:r w:rsidR="0016471E" w:rsidRPr="00D54223">
        <w:t>.</w:t>
      </w:r>
      <w:r w:rsidR="000F3698" w:rsidRPr="000F3698">
        <w:t xml:space="preserve"> </w:t>
      </w:r>
      <w:r w:rsidR="000F3698" w:rsidRPr="00D54223">
        <w:t>Le résumé doi</w:t>
      </w:r>
      <w:r w:rsidR="000F3698">
        <w:t>t être organisé</w:t>
      </w:r>
      <w:r w:rsidR="000F3698" w:rsidRPr="00D54223">
        <w:t xml:space="preserve"> sous la forme suivante</w:t>
      </w:r>
      <w:r w:rsidR="00540021">
        <w:t xml:space="preserve"> (voir modèle joint).</w:t>
      </w:r>
    </w:p>
    <w:p w:rsidR="00D84A27" w:rsidRPr="008B403F" w:rsidRDefault="000F3698" w:rsidP="000F3698">
      <w:pPr>
        <w:spacing w:before="120"/>
        <w:jc w:val="center"/>
        <w:rPr>
          <w:b/>
          <w:sz w:val="28"/>
          <w:szCs w:val="28"/>
        </w:rPr>
      </w:pPr>
      <w:r>
        <w:rPr>
          <w:b/>
          <w:sz w:val="28"/>
          <w:szCs w:val="28"/>
        </w:rPr>
        <w:br w:type="page"/>
      </w:r>
      <w:r w:rsidR="00D84A27" w:rsidRPr="008B403F">
        <w:rPr>
          <w:b/>
          <w:sz w:val="28"/>
          <w:szCs w:val="28"/>
        </w:rPr>
        <w:lastRenderedPageBreak/>
        <w:t>Guide aux auteurs</w:t>
      </w:r>
    </w:p>
    <w:p w:rsidR="00D84A27" w:rsidRPr="008B403F" w:rsidRDefault="00D84A27" w:rsidP="00D84A27">
      <w:pPr>
        <w:jc w:val="center"/>
      </w:pPr>
    </w:p>
    <w:p w:rsidR="00D84A27" w:rsidRPr="008B403F" w:rsidRDefault="00D84A27" w:rsidP="00D84A27">
      <w:pPr>
        <w:pStyle w:val="aicauteurs"/>
        <w:spacing w:after="0"/>
        <w:ind w:firstLine="0"/>
        <w:rPr>
          <w:b/>
          <w:i/>
          <w:sz w:val="24"/>
          <w:szCs w:val="24"/>
        </w:rPr>
      </w:pPr>
      <w:r w:rsidRPr="008B403F">
        <w:rPr>
          <w:b/>
          <w:i/>
          <w:sz w:val="24"/>
          <w:szCs w:val="24"/>
        </w:rPr>
        <w:t>Prénom Nom</w:t>
      </w:r>
      <w:r w:rsidRPr="008B403F">
        <w:rPr>
          <w:b/>
          <w:i/>
          <w:sz w:val="24"/>
          <w:szCs w:val="24"/>
          <w:vertAlign w:val="superscript"/>
        </w:rPr>
        <w:t>1</w:t>
      </w:r>
      <w:r w:rsidRPr="008B403F">
        <w:rPr>
          <w:b/>
          <w:i/>
          <w:sz w:val="24"/>
          <w:szCs w:val="24"/>
        </w:rPr>
        <w:t>, Prénom Nom</w:t>
      </w:r>
      <w:r w:rsidRPr="008B403F">
        <w:rPr>
          <w:b/>
          <w:i/>
          <w:sz w:val="24"/>
          <w:szCs w:val="24"/>
          <w:vertAlign w:val="superscript"/>
        </w:rPr>
        <w:t>1</w:t>
      </w:r>
      <w:r w:rsidRPr="008B403F">
        <w:rPr>
          <w:b/>
          <w:i/>
          <w:sz w:val="24"/>
          <w:szCs w:val="24"/>
        </w:rPr>
        <w:t>, Prénom Nom</w:t>
      </w:r>
      <w:r w:rsidRPr="008B403F">
        <w:rPr>
          <w:b/>
          <w:i/>
          <w:sz w:val="24"/>
          <w:szCs w:val="24"/>
          <w:vertAlign w:val="superscript"/>
        </w:rPr>
        <w:t>2</w:t>
      </w:r>
      <w:r w:rsidRPr="008B403F">
        <w:rPr>
          <w:b/>
          <w:i/>
          <w:sz w:val="24"/>
          <w:szCs w:val="24"/>
        </w:rPr>
        <w:t>, Prénom Nom</w:t>
      </w:r>
      <w:r w:rsidRPr="008B403F">
        <w:rPr>
          <w:b/>
          <w:i/>
          <w:sz w:val="24"/>
          <w:szCs w:val="24"/>
          <w:vertAlign w:val="superscript"/>
        </w:rPr>
        <w:t>3</w:t>
      </w:r>
    </w:p>
    <w:p w:rsidR="00D84A27" w:rsidRPr="008B403F" w:rsidRDefault="00D84A27" w:rsidP="00D84A27">
      <w:pPr>
        <w:jc w:val="center"/>
      </w:pPr>
      <w:r w:rsidRPr="008B403F">
        <w:rPr>
          <w:b/>
          <w:i/>
          <w:vertAlign w:val="superscript"/>
        </w:rPr>
        <w:t>1</w:t>
      </w:r>
      <w:r w:rsidRPr="008B403F">
        <w:t>Maison des Sciences de l’Homme et de la Sociétés de Poitiers, France</w:t>
      </w:r>
    </w:p>
    <w:p w:rsidR="00D84A27" w:rsidRPr="008B403F" w:rsidRDefault="00D84A27" w:rsidP="00D84A27">
      <w:pPr>
        <w:jc w:val="center"/>
      </w:pPr>
      <w:r w:rsidRPr="008B403F">
        <w:rPr>
          <w:b/>
          <w:i/>
          <w:vertAlign w:val="superscript"/>
        </w:rPr>
        <w:t>2</w:t>
      </w:r>
      <w:r w:rsidRPr="008B403F">
        <w:t>Laboratoire d’étude avancé de Paris, France</w:t>
      </w:r>
    </w:p>
    <w:p w:rsidR="00D84A27" w:rsidRPr="008B403F" w:rsidRDefault="00D84A27" w:rsidP="00D84A27">
      <w:pPr>
        <w:jc w:val="center"/>
      </w:pPr>
      <w:r w:rsidRPr="008B403F">
        <w:rPr>
          <w:b/>
          <w:i/>
          <w:vertAlign w:val="superscript"/>
        </w:rPr>
        <w:t>3</w:t>
      </w:r>
      <w:r w:rsidRPr="008B403F">
        <w:t>Laboratoirexxxxxxxxxxxx</w:t>
      </w:r>
    </w:p>
    <w:p w:rsidR="00D84A27" w:rsidRPr="008B403F" w:rsidRDefault="00580327" w:rsidP="00D84A27">
      <w:pPr>
        <w:jc w:val="center"/>
        <w:rPr>
          <w:sz w:val="20"/>
          <w:szCs w:val="20"/>
        </w:rPr>
      </w:pPr>
      <w:hyperlink r:id="rId8" w:history="1">
        <w:r w:rsidR="008B403F" w:rsidRPr="00EC5B1C">
          <w:rPr>
            <w:rStyle w:val="Lienhypertexte"/>
            <w:sz w:val="20"/>
            <w:szCs w:val="20"/>
          </w:rPr>
          <w:t>adresse-electronique-du-communicant@courriel.fr</w:t>
        </w:r>
      </w:hyperlink>
    </w:p>
    <w:p w:rsidR="00D84A27" w:rsidRPr="008B403F" w:rsidRDefault="00D84A27" w:rsidP="00D84A27">
      <w:pPr>
        <w:jc w:val="both"/>
      </w:pPr>
    </w:p>
    <w:p w:rsidR="00D84A27" w:rsidRPr="008B403F" w:rsidRDefault="00D84A27" w:rsidP="00D84A27">
      <w:pPr>
        <w:jc w:val="both"/>
      </w:pPr>
      <w:r w:rsidRPr="008B403F">
        <w:rPr>
          <w:b/>
        </w:rPr>
        <w:t>OBJECTIFS</w:t>
      </w:r>
    </w:p>
    <w:p w:rsidR="000F3698" w:rsidRDefault="00E65225" w:rsidP="00E65225">
      <w:pPr>
        <w:jc w:val="both"/>
      </w:pPr>
      <w:r>
        <w:t>Présentez la problématique abordée et l</w:t>
      </w:r>
      <w:r w:rsidR="00D51660" w:rsidRPr="00D54223">
        <w:t>es objectifs scientifiques en soulignant l’originalité de vos travaux de recherche</w:t>
      </w:r>
      <w:r>
        <w:t xml:space="preserve">. </w:t>
      </w:r>
      <w:r w:rsidRPr="008B403F">
        <w:t>Les titres de section doivent être aligné à gauche, majuscule, police 12, gras.</w:t>
      </w:r>
    </w:p>
    <w:p w:rsidR="00D84A27" w:rsidRPr="008B403F" w:rsidRDefault="00E65225" w:rsidP="000F3698">
      <w:pPr>
        <w:spacing w:before="120"/>
        <w:jc w:val="both"/>
      </w:pPr>
      <w:r>
        <w:t>T</w:t>
      </w:r>
      <w:r w:rsidR="00D84A27" w:rsidRPr="008B403F">
        <w:t>exte, justifié, interligne simple, police 12 points</w:t>
      </w:r>
      <w:r w:rsidR="00D51660">
        <w:t xml:space="preserve">. </w:t>
      </w:r>
      <w:r w:rsidR="00D84A27" w:rsidRPr="008B403F">
        <w:t>Les paragraphes sont toujours suivis par un saut de ligne.</w:t>
      </w:r>
    </w:p>
    <w:p w:rsidR="00D84A27" w:rsidRPr="008B403F" w:rsidRDefault="00D84A27" w:rsidP="00D84A27">
      <w:pPr>
        <w:jc w:val="both"/>
      </w:pPr>
    </w:p>
    <w:p w:rsidR="00D84A27" w:rsidRPr="008B403F" w:rsidRDefault="00D84A27" w:rsidP="00D84A27">
      <w:pPr>
        <w:jc w:val="both"/>
      </w:pPr>
      <w:r w:rsidRPr="008B403F">
        <w:rPr>
          <w:b/>
        </w:rPr>
        <w:t>METHODES UTILISEES</w:t>
      </w:r>
    </w:p>
    <w:p w:rsidR="00D84A27" w:rsidRDefault="00E65225" w:rsidP="00D84A27">
      <w:pPr>
        <w:jc w:val="both"/>
      </w:pPr>
      <w:r>
        <w:t>Précisez l</w:t>
      </w:r>
      <w:r w:rsidR="000F3698">
        <w:t>es</w:t>
      </w:r>
      <w:r>
        <w:t xml:space="preserve"> m</w:t>
      </w:r>
      <w:r w:rsidRPr="00E65225">
        <w:t>éthodologie</w:t>
      </w:r>
      <w:r w:rsidR="000F3698">
        <w:t>s</w:t>
      </w:r>
      <w:r w:rsidRPr="00E65225">
        <w:t xml:space="preserve"> mise</w:t>
      </w:r>
      <w:r w:rsidR="000F3698">
        <w:t>s</w:t>
      </w:r>
      <w:r w:rsidRPr="00E65225">
        <w:t xml:space="preserve"> en œuvre pour réaliser vos investigations et éventuellement les outils d’expérimentation </w:t>
      </w:r>
      <w:r w:rsidR="000F3698">
        <w:t>ou d’investigation utilisés, les fonds documentaires, les instruments de mesure utilisés, la population cible,…</w:t>
      </w:r>
    </w:p>
    <w:p w:rsidR="00E65225" w:rsidRDefault="00E65225" w:rsidP="000F3698">
      <w:pPr>
        <w:spacing w:before="120"/>
        <w:jc w:val="both"/>
      </w:pPr>
      <w:r>
        <w:t>T</w:t>
      </w:r>
      <w:r w:rsidRPr="008B403F">
        <w:t>exte, justifié, interligne simple, police 12 points</w:t>
      </w:r>
      <w:r>
        <w:t xml:space="preserve">. </w:t>
      </w:r>
      <w:r w:rsidRPr="008B403F">
        <w:t>Les paragraphes sont toujours suivis par un saut de ligne.</w:t>
      </w:r>
      <w:r>
        <w:t xml:space="preserve"> </w:t>
      </w:r>
      <w:r w:rsidRPr="008B403F">
        <w:t>Les tableaux (légende en haut) et les figures (légende en bas) doivent être numérotés et référencés dans le texte.</w:t>
      </w:r>
    </w:p>
    <w:p w:rsidR="00E65225" w:rsidRPr="008B403F" w:rsidRDefault="00E65225" w:rsidP="00E65225">
      <w:pPr>
        <w:jc w:val="both"/>
      </w:pPr>
    </w:p>
    <w:p w:rsidR="00D84A27" w:rsidRPr="008B403F" w:rsidRDefault="00D84A27" w:rsidP="00D84A27">
      <w:pPr>
        <w:jc w:val="both"/>
      </w:pPr>
      <w:r w:rsidRPr="008B403F">
        <w:rPr>
          <w:b/>
        </w:rPr>
        <w:t>RESULTATS OBTENUS</w:t>
      </w:r>
    </w:p>
    <w:p w:rsidR="00D84A27" w:rsidRDefault="000F3698" w:rsidP="00D84A27">
      <w:pPr>
        <w:jc w:val="both"/>
      </w:pPr>
      <w:r>
        <w:t>Le cas échéant, p</w:t>
      </w:r>
      <w:r w:rsidR="00E65225" w:rsidRPr="00E65225">
        <w:t xml:space="preserve">résentez de façon succincte les résultats </w:t>
      </w:r>
      <w:r>
        <w:t xml:space="preserve">préliminaires </w:t>
      </w:r>
      <w:r w:rsidR="00E65225" w:rsidRPr="00E65225">
        <w:t>de vos travaux de recherche en intégrant des illustrations (tableaux, courbes, photos…)</w:t>
      </w:r>
      <w:r w:rsidR="00E65225">
        <w:t>.</w:t>
      </w:r>
    </w:p>
    <w:p w:rsidR="00E65225" w:rsidRDefault="00E65225" w:rsidP="000F3698">
      <w:pPr>
        <w:spacing w:before="120"/>
        <w:jc w:val="both"/>
      </w:pPr>
      <w:r>
        <w:t>T</w:t>
      </w:r>
      <w:r w:rsidRPr="008B403F">
        <w:t>exte, justifié, interligne simple, police 12 points</w:t>
      </w:r>
      <w:r>
        <w:t xml:space="preserve">. </w:t>
      </w:r>
      <w:r w:rsidRPr="008B403F">
        <w:t>Les paragraphes sont toujours suivis par un saut de ligne.</w:t>
      </w:r>
      <w:r>
        <w:t xml:space="preserve"> </w:t>
      </w:r>
      <w:r w:rsidRPr="008B403F">
        <w:t>Les tableaux (légende en haut) et les figures (légende en bas) doivent être numérotés et référencés dans le texte.</w:t>
      </w:r>
      <w:r>
        <w:t xml:space="preserve"> </w:t>
      </w:r>
      <w:r w:rsidRPr="008B403F">
        <w:t>Les tableaux (légende en haut) et les figures (légende en bas) doivent être numéro</w:t>
      </w:r>
      <w:r>
        <w:t>tés et référencés dans le texte.</w:t>
      </w:r>
    </w:p>
    <w:p w:rsidR="00E65225" w:rsidRPr="008B403F" w:rsidRDefault="00E65225" w:rsidP="00E65225">
      <w:pPr>
        <w:jc w:val="both"/>
      </w:pPr>
    </w:p>
    <w:p w:rsidR="00D84A27" w:rsidRPr="008B403F" w:rsidRDefault="00D84A27" w:rsidP="00D84A27">
      <w:pPr>
        <w:jc w:val="both"/>
      </w:pPr>
      <w:r w:rsidRPr="008B403F">
        <w:rPr>
          <w:b/>
        </w:rPr>
        <w:t>DISCUSSION ET/OU CONCLUSION</w:t>
      </w:r>
    </w:p>
    <w:p w:rsidR="00E65225" w:rsidRDefault="00E65225" w:rsidP="000F3698">
      <w:pPr>
        <w:spacing w:before="120"/>
        <w:jc w:val="both"/>
      </w:pPr>
      <w:r>
        <w:t>T</w:t>
      </w:r>
      <w:r w:rsidRPr="008B403F">
        <w:t>exte, justifié, interligne simple, police 12 points</w:t>
      </w:r>
      <w:r>
        <w:t xml:space="preserve">. </w:t>
      </w:r>
      <w:r w:rsidRPr="008B403F">
        <w:t>Les paragraphes sont toujours suivis par un saut de ligne.</w:t>
      </w:r>
      <w:r>
        <w:t xml:space="preserve"> </w:t>
      </w:r>
      <w:r w:rsidRPr="008B403F">
        <w:t>Les tableaux (légende en haut) et les figures (légende en bas) doivent être numérotés et référencés dans le texte.</w:t>
      </w:r>
    </w:p>
    <w:p w:rsidR="00E65225" w:rsidRPr="008B403F" w:rsidRDefault="00E65225" w:rsidP="000F3698">
      <w:pPr>
        <w:spacing w:before="120"/>
        <w:jc w:val="both"/>
      </w:pPr>
      <w:r w:rsidRPr="008B403F">
        <w:t xml:space="preserve">Un renvoi bibliographique dans le texte doit mentionner </w:t>
      </w:r>
      <w:r w:rsidRPr="008B403F">
        <w:rPr>
          <w:iCs/>
        </w:rPr>
        <w:t>l'ensemble des</w:t>
      </w:r>
      <w:r w:rsidRPr="008B403F">
        <w:t xml:space="preserve"> </w:t>
      </w:r>
      <w:r w:rsidRPr="008B403F">
        <w:rPr>
          <w:iCs/>
        </w:rPr>
        <w:t>noms des</w:t>
      </w:r>
      <w:r w:rsidRPr="008B403F">
        <w:t xml:space="preserve"> </w:t>
      </w:r>
      <w:r w:rsidRPr="008B403F">
        <w:rPr>
          <w:iCs/>
        </w:rPr>
        <w:t>auteurs</w:t>
      </w:r>
      <w:r w:rsidRPr="008B403F">
        <w:rPr>
          <w:i/>
          <w:iCs/>
        </w:rPr>
        <w:t xml:space="preserve"> </w:t>
      </w:r>
      <w:r w:rsidRPr="008B403F">
        <w:t>signataires (jusqu'à cinq)</w:t>
      </w:r>
      <w:r w:rsidRPr="008B403F">
        <w:rPr>
          <w:i/>
          <w:iCs/>
        </w:rPr>
        <w:t xml:space="preserve"> </w:t>
      </w:r>
      <w:r w:rsidRPr="008B403F">
        <w:t>et l'année de la publication qui devra nécessairement apparaître dans la bibliographie en fin d'article. Si la même référence est à nouveau utilisée par la suite (ou s'il y a plus de cinq auteurs), il suffit de mentionner le nom du premier auteur, suivi de la mention "</w:t>
      </w:r>
      <w:r w:rsidRPr="008B403F">
        <w:rPr>
          <w:iCs/>
        </w:rPr>
        <w:t>et al</w:t>
      </w:r>
      <w:r w:rsidRPr="008B403F">
        <w:rPr>
          <w:i/>
          <w:iCs/>
        </w:rPr>
        <w:t xml:space="preserve"> </w:t>
      </w:r>
      <w:r w:rsidRPr="008B403F">
        <w:t>.", et la date. Les références doiv</w:t>
      </w:r>
      <w:r>
        <w:t>ent être mises entre parenthèse</w:t>
      </w:r>
      <w:r w:rsidRPr="008B403F">
        <w:t xml:space="preserve"> </w:t>
      </w:r>
      <w:r>
        <w:t>(Klahr &amp; Dunbar, 1988) si 2 auteurs concernés</w:t>
      </w:r>
      <w:r w:rsidRPr="008B403F">
        <w:t xml:space="preserve"> ou (Rasmussen, Brehmer, &amp; Le</w:t>
      </w:r>
      <w:r>
        <w:t xml:space="preserve">plat, 1991) </w:t>
      </w:r>
      <w:r w:rsidRPr="008B403F">
        <w:t>si 3, ou 4 auteurs : insérer une virugle devant le signe "&amp;") ou (Hammer et al., 1993)</w:t>
      </w:r>
      <w:r>
        <w:t>.</w:t>
      </w:r>
    </w:p>
    <w:p w:rsidR="00DF5DEE" w:rsidRPr="008B403F" w:rsidRDefault="00DF5DEE" w:rsidP="00D84A27">
      <w:pPr>
        <w:jc w:val="both"/>
      </w:pPr>
    </w:p>
    <w:p w:rsidR="00D84A27" w:rsidRPr="008B403F" w:rsidRDefault="00D84A27" w:rsidP="00D84A27">
      <w:pPr>
        <w:jc w:val="both"/>
      </w:pPr>
      <w:r w:rsidRPr="008B403F">
        <w:rPr>
          <w:b/>
        </w:rPr>
        <w:t>REFERENCES BIBLIOGRAPHIQUES OU BIBLIOGRAPHIE</w:t>
      </w:r>
    </w:p>
    <w:p w:rsidR="000F3698" w:rsidRPr="00D54223" w:rsidRDefault="000F3698" w:rsidP="000F3698">
      <w:pPr>
        <w:spacing w:before="120"/>
      </w:pPr>
      <w:r>
        <w:t>T</w:t>
      </w:r>
      <w:r w:rsidRPr="008B403F">
        <w:t>exte, justifié, interligne simple, police 1</w:t>
      </w:r>
      <w:r>
        <w:t>0</w:t>
      </w:r>
      <w:r w:rsidRPr="008B403F">
        <w:t xml:space="preserve"> points</w:t>
      </w:r>
      <w:r>
        <w:t xml:space="preserve">. </w:t>
      </w:r>
      <w:r w:rsidRPr="00D54223">
        <w:t>Les références bibliographiques doivent respecter le format APA (American Psychological Association) :</w:t>
      </w:r>
    </w:p>
    <w:p w:rsidR="00901A04" w:rsidRPr="001C0F07" w:rsidRDefault="00901A04" w:rsidP="000F3698">
      <w:pPr>
        <w:spacing w:before="120"/>
        <w:jc w:val="both"/>
        <w:rPr>
          <w:sz w:val="20"/>
          <w:szCs w:val="20"/>
          <w:lang w:val="en-GB"/>
        </w:rPr>
      </w:pPr>
      <w:r w:rsidRPr="003C34FD">
        <w:rPr>
          <w:sz w:val="20"/>
          <w:szCs w:val="20"/>
          <w:lang w:val="en-US"/>
        </w:rPr>
        <w:t xml:space="preserve">Tendjaoui, M., Kolski, C., &amp; Millot, P. (1991). </w:t>
      </w:r>
      <w:r w:rsidRPr="001C0F07">
        <w:rPr>
          <w:sz w:val="20"/>
          <w:szCs w:val="20"/>
          <w:lang w:val="en-GB"/>
        </w:rPr>
        <w:t xml:space="preserve">An approach towards the design of intelligent man-machine interfaces used in process control. </w:t>
      </w:r>
      <w:r w:rsidRPr="001C0F07">
        <w:rPr>
          <w:i/>
          <w:iCs/>
          <w:sz w:val="20"/>
          <w:szCs w:val="20"/>
          <w:lang w:val="en-GB"/>
        </w:rPr>
        <w:t>International Journal</w:t>
      </w:r>
      <w:r w:rsidRPr="001C0F07">
        <w:rPr>
          <w:i/>
          <w:sz w:val="20"/>
          <w:szCs w:val="20"/>
          <w:lang w:val="en-GB"/>
        </w:rPr>
        <w:t xml:space="preserve"> </w:t>
      </w:r>
      <w:r w:rsidRPr="001C0F07">
        <w:rPr>
          <w:i/>
          <w:iCs/>
          <w:sz w:val="20"/>
          <w:szCs w:val="20"/>
          <w:lang w:val="en-GB"/>
        </w:rPr>
        <w:t>of Industrial</w:t>
      </w:r>
      <w:r w:rsidRPr="001C0F07">
        <w:rPr>
          <w:i/>
          <w:sz w:val="20"/>
          <w:szCs w:val="20"/>
          <w:lang w:val="en-GB"/>
        </w:rPr>
        <w:t xml:space="preserve"> </w:t>
      </w:r>
      <w:r w:rsidRPr="001C0F07">
        <w:rPr>
          <w:i/>
          <w:iCs/>
          <w:sz w:val="20"/>
          <w:szCs w:val="20"/>
          <w:lang w:val="en-GB"/>
        </w:rPr>
        <w:t>Ergonomics, 8,</w:t>
      </w:r>
      <w:r w:rsidRPr="001C0F07">
        <w:rPr>
          <w:sz w:val="20"/>
          <w:szCs w:val="20"/>
          <w:lang w:val="en-GB"/>
        </w:rPr>
        <w:t xml:space="preserve"> 345-361.</w:t>
      </w:r>
    </w:p>
    <w:p w:rsidR="00901A04" w:rsidRPr="00901A04" w:rsidRDefault="00901A04" w:rsidP="00901A04">
      <w:pPr>
        <w:jc w:val="both"/>
        <w:rPr>
          <w:sz w:val="20"/>
          <w:szCs w:val="20"/>
        </w:rPr>
      </w:pPr>
      <w:r w:rsidRPr="001C0F07">
        <w:rPr>
          <w:sz w:val="20"/>
          <w:szCs w:val="20"/>
          <w:lang w:val="en-GB"/>
        </w:rPr>
        <w:t xml:space="preserve">Goodstein, L.P., Anderson, H.B., &amp; Olsen, S.E. (Eds.). (1988). </w:t>
      </w:r>
      <w:r w:rsidRPr="001C0F07">
        <w:rPr>
          <w:i/>
          <w:iCs/>
          <w:sz w:val="20"/>
          <w:szCs w:val="20"/>
          <w:lang w:val="en-GB"/>
        </w:rPr>
        <w:t>Tasks, errors,</w:t>
      </w:r>
      <w:r w:rsidRPr="001C0F07">
        <w:rPr>
          <w:i/>
          <w:sz w:val="20"/>
          <w:szCs w:val="20"/>
          <w:lang w:val="en-GB"/>
        </w:rPr>
        <w:t xml:space="preserve"> </w:t>
      </w:r>
      <w:r w:rsidRPr="001C0F07">
        <w:rPr>
          <w:i/>
          <w:iCs/>
          <w:sz w:val="20"/>
          <w:szCs w:val="20"/>
          <w:lang w:val="en-GB"/>
        </w:rPr>
        <w:t>and mental</w:t>
      </w:r>
      <w:r w:rsidRPr="001C0F07">
        <w:rPr>
          <w:i/>
          <w:sz w:val="20"/>
          <w:szCs w:val="20"/>
          <w:lang w:val="en-GB"/>
        </w:rPr>
        <w:t xml:space="preserve"> </w:t>
      </w:r>
      <w:r w:rsidRPr="001C0F07">
        <w:rPr>
          <w:i/>
          <w:iCs/>
          <w:sz w:val="20"/>
          <w:szCs w:val="20"/>
          <w:lang w:val="en-GB"/>
        </w:rPr>
        <w:t>models</w:t>
      </w:r>
      <w:r w:rsidRPr="001C0F07">
        <w:rPr>
          <w:iCs/>
          <w:sz w:val="20"/>
          <w:szCs w:val="20"/>
          <w:lang w:val="en-GB"/>
        </w:rPr>
        <w:t xml:space="preserve">. </w:t>
      </w:r>
      <w:r w:rsidRPr="00901A04">
        <w:rPr>
          <w:sz w:val="20"/>
          <w:szCs w:val="20"/>
        </w:rPr>
        <w:t>London: Taylor &amp; Francis.</w:t>
      </w:r>
    </w:p>
    <w:p w:rsidR="00901A04" w:rsidRPr="001C0F07" w:rsidRDefault="00901A04" w:rsidP="00901A04">
      <w:pPr>
        <w:jc w:val="both"/>
        <w:rPr>
          <w:sz w:val="20"/>
          <w:szCs w:val="20"/>
          <w:lang w:val="en-GB"/>
        </w:rPr>
      </w:pPr>
      <w:r w:rsidRPr="001C0F07">
        <w:rPr>
          <w:sz w:val="20"/>
          <w:szCs w:val="20"/>
        </w:rPr>
        <w:lastRenderedPageBreak/>
        <w:t xml:space="preserve">Kahn, R.L., &amp; Byosière, P. (1992). </w:t>
      </w:r>
      <w:r w:rsidRPr="001C0F07">
        <w:rPr>
          <w:sz w:val="20"/>
          <w:szCs w:val="20"/>
          <w:lang w:val="en-GB"/>
        </w:rPr>
        <w:t xml:space="preserve">Stress in organizations. In M.D. Dunnette &amp; L.M. Hough (Eds.), </w:t>
      </w:r>
      <w:r w:rsidRPr="001C0F07">
        <w:rPr>
          <w:i/>
          <w:iCs/>
          <w:sz w:val="20"/>
          <w:szCs w:val="20"/>
          <w:lang w:val="en-GB"/>
        </w:rPr>
        <w:t>Handbook of</w:t>
      </w:r>
      <w:r w:rsidRPr="001C0F07">
        <w:rPr>
          <w:i/>
          <w:sz w:val="20"/>
          <w:szCs w:val="20"/>
          <w:lang w:val="en-GB"/>
        </w:rPr>
        <w:t xml:space="preserve"> </w:t>
      </w:r>
      <w:r w:rsidRPr="001C0F07">
        <w:rPr>
          <w:i/>
          <w:iCs/>
          <w:sz w:val="20"/>
          <w:szCs w:val="20"/>
          <w:lang w:val="en-GB"/>
        </w:rPr>
        <w:t>industrial and</w:t>
      </w:r>
      <w:r w:rsidRPr="001C0F07">
        <w:rPr>
          <w:i/>
          <w:sz w:val="20"/>
          <w:szCs w:val="20"/>
          <w:lang w:val="en-GB"/>
        </w:rPr>
        <w:t xml:space="preserve"> </w:t>
      </w:r>
      <w:r w:rsidRPr="001C0F07">
        <w:rPr>
          <w:i/>
          <w:iCs/>
          <w:sz w:val="20"/>
          <w:szCs w:val="20"/>
          <w:lang w:val="en-GB"/>
        </w:rPr>
        <w:t>organizational psychology</w:t>
      </w:r>
      <w:r w:rsidRPr="001C0F07">
        <w:rPr>
          <w:sz w:val="20"/>
          <w:szCs w:val="20"/>
          <w:lang w:val="en-GB"/>
        </w:rPr>
        <w:t xml:space="preserve"> (pp. 571-650). </w:t>
      </w:r>
      <w:smartTag w:uri="urn:schemas-microsoft-com:office:smarttags" w:element="place">
        <w:smartTag w:uri="urn:schemas-microsoft-com:office:smarttags" w:element="City">
          <w:r w:rsidRPr="001C0F07">
            <w:rPr>
              <w:sz w:val="20"/>
              <w:szCs w:val="20"/>
              <w:lang w:val="en-GB"/>
            </w:rPr>
            <w:t>Palo Alto</w:t>
          </w:r>
        </w:smartTag>
        <w:r w:rsidRPr="001C0F07">
          <w:rPr>
            <w:sz w:val="20"/>
            <w:szCs w:val="20"/>
            <w:lang w:val="en-GB"/>
          </w:rPr>
          <w:t xml:space="preserve">, </w:t>
        </w:r>
        <w:smartTag w:uri="urn:schemas-microsoft-com:office:smarttags" w:element="State">
          <w:r w:rsidRPr="001C0F07">
            <w:rPr>
              <w:sz w:val="20"/>
              <w:szCs w:val="20"/>
              <w:lang w:val="en-GB"/>
            </w:rPr>
            <w:t>CA</w:t>
          </w:r>
        </w:smartTag>
      </w:smartTag>
      <w:r w:rsidRPr="001C0F07">
        <w:rPr>
          <w:sz w:val="20"/>
          <w:szCs w:val="20"/>
          <w:lang w:val="en-GB"/>
        </w:rPr>
        <w:t xml:space="preserve">: Consulting Psychologists Press. </w:t>
      </w:r>
      <w:r w:rsidRPr="001C0F07">
        <w:rPr>
          <w:bCs/>
          <w:sz w:val="20"/>
          <w:szCs w:val="20"/>
          <w:lang w:val="en-GB"/>
        </w:rPr>
        <w:t>(2 auteurs)</w:t>
      </w:r>
      <w:r w:rsidRPr="001C0F07">
        <w:rPr>
          <w:sz w:val="20"/>
          <w:szCs w:val="20"/>
          <w:lang w:val="en-GB"/>
        </w:rPr>
        <w:t>.</w:t>
      </w:r>
    </w:p>
    <w:p w:rsidR="00901A04" w:rsidRPr="001C0F07" w:rsidRDefault="00901A04" w:rsidP="00901A04">
      <w:pPr>
        <w:jc w:val="both"/>
        <w:rPr>
          <w:sz w:val="20"/>
          <w:szCs w:val="20"/>
        </w:rPr>
      </w:pPr>
      <w:r w:rsidRPr="001C0F07">
        <w:rPr>
          <w:sz w:val="20"/>
          <w:szCs w:val="20"/>
          <w:lang w:val="en-GB"/>
        </w:rPr>
        <w:t>Bainbridge, L. (1987). The ironies of automation. In</w:t>
      </w:r>
      <w:r w:rsidRPr="001C0F07">
        <w:rPr>
          <w:iCs/>
          <w:sz w:val="20"/>
          <w:szCs w:val="20"/>
          <w:lang w:val="en-GB"/>
        </w:rPr>
        <w:t xml:space="preserve"> </w:t>
      </w:r>
      <w:r w:rsidRPr="001C0F07">
        <w:rPr>
          <w:sz w:val="20"/>
          <w:szCs w:val="20"/>
          <w:lang w:val="en-GB"/>
        </w:rPr>
        <w:t xml:space="preserve">J. Rasmussen, K. Duncan, &amp; J. Leplat (Eds.), </w:t>
      </w:r>
      <w:r w:rsidRPr="001C0F07">
        <w:rPr>
          <w:i/>
          <w:iCs/>
          <w:sz w:val="20"/>
          <w:szCs w:val="20"/>
          <w:lang w:val="en-GB"/>
        </w:rPr>
        <w:t>New technology</w:t>
      </w:r>
      <w:r w:rsidRPr="001C0F07">
        <w:rPr>
          <w:i/>
          <w:sz w:val="20"/>
          <w:szCs w:val="20"/>
          <w:lang w:val="en-GB"/>
        </w:rPr>
        <w:t xml:space="preserve"> </w:t>
      </w:r>
      <w:r w:rsidRPr="001C0F07">
        <w:rPr>
          <w:i/>
          <w:iCs/>
          <w:sz w:val="20"/>
          <w:szCs w:val="20"/>
          <w:lang w:val="en-GB"/>
        </w:rPr>
        <w:t>and humanerror</w:t>
      </w:r>
      <w:r w:rsidRPr="001C0F07">
        <w:rPr>
          <w:iCs/>
          <w:sz w:val="20"/>
          <w:szCs w:val="20"/>
          <w:lang w:val="en-GB"/>
        </w:rPr>
        <w:t xml:space="preserve"> </w:t>
      </w:r>
      <w:r w:rsidRPr="001C0F07">
        <w:rPr>
          <w:sz w:val="20"/>
          <w:szCs w:val="20"/>
          <w:lang w:val="en-GB"/>
        </w:rPr>
        <w:t>(pp. 271-283)</w:t>
      </w:r>
      <w:r w:rsidRPr="001C0F07">
        <w:rPr>
          <w:iCs/>
          <w:sz w:val="20"/>
          <w:szCs w:val="20"/>
          <w:lang w:val="en-GB"/>
        </w:rPr>
        <w:t xml:space="preserve">. </w:t>
      </w:r>
      <w:r w:rsidRPr="001C0F07">
        <w:rPr>
          <w:sz w:val="20"/>
          <w:szCs w:val="20"/>
        </w:rPr>
        <w:t xml:space="preserve">Chichester, UK: Wiley. </w:t>
      </w:r>
      <w:r w:rsidRPr="001C0F07">
        <w:rPr>
          <w:bCs/>
          <w:sz w:val="20"/>
          <w:szCs w:val="20"/>
        </w:rPr>
        <w:t>(3 auteurs et plus)</w:t>
      </w:r>
      <w:r w:rsidRPr="001C0F07">
        <w:rPr>
          <w:sz w:val="20"/>
          <w:szCs w:val="20"/>
        </w:rPr>
        <w:t>.</w:t>
      </w:r>
    </w:p>
    <w:p w:rsidR="00901A04" w:rsidRPr="001C0F07" w:rsidRDefault="00901A04" w:rsidP="00901A04">
      <w:pPr>
        <w:jc w:val="both"/>
        <w:rPr>
          <w:sz w:val="20"/>
          <w:szCs w:val="20"/>
        </w:rPr>
      </w:pPr>
      <w:r w:rsidRPr="001C0F07">
        <w:rPr>
          <w:sz w:val="20"/>
          <w:szCs w:val="20"/>
        </w:rPr>
        <w:t xml:space="preserve">Guillermain, H. (1988). </w:t>
      </w:r>
      <w:r w:rsidRPr="001C0F07">
        <w:rPr>
          <w:i/>
          <w:iCs/>
          <w:sz w:val="20"/>
          <w:szCs w:val="20"/>
        </w:rPr>
        <w:t>Aide logicielle</w:t>
      </w:r>
      <w:r w:rsidRPr="001C0F07">
        <w:rPr>
          <w:i/>
          <w:sz w:val="20"/>
          <w:szCs w:val="20"/>
        </w:rPr>
        <w:t xml:space="preserve"> </w:t>
      </w:r>
      <w:r w:rsidRPr="001C0F07">
        <w:rPr>
          <w:i/>
          <w:iCs/>
          <w:sz w:val="20"/>
          <w:szCs w:val="20"/>
        </w:rPr>
        <w:t>au diagnosticsur processus</w:t>
      </w:r>
      <w:r w:rsidRPr="001C0F07">
        <w:rPr>
          <w:i/>
          <w:sz w:val="20"/>
          <w:szCs w:val="20"/>
        </w:rPr>
        <w:t xml:space="preserve"> </w:t>
      </w:r>
      <w:r w:rsidRPr="001C0F07">
        <w:rPr>
          <w:i/>
          <w:iCs/>
          <w:sz w:val="20"/>
          <w:szCs w:val="20"/>
        </w:rPr>
        <w:t>robotisé et</w:t>
      </w:r>
      <w:r w:rsidRPr="001C0F07">
        <w:rPr>
          <w:i/>
          <w:sz w:val="20"/>
          <w:szCs w:val="20"/>
        </w:rPr>
        <w:t xml:space="preserve"> </w:t>
      </w:r>
      <w:r w:rsidRPr="001C0F07">
        <w:rPr>
          <w:i/>
          <w:iCs/>
          <w:sz w:val="20"/>
          <w:szCs w:val="20"/>
        </w:rPr>
        <w:t>évolution possiblevers une</w:t>
      </w:r>
      <w:r w:rsidRPr="001C0F07">
        <w:rPr>
          <w:i/>
          <w:sz w:val="20"/>
          <w:szCs w:val="20"/>
        </w:rPr>
        <w:t xml:space="preserve"> </w:t>
      </w:r>
      <w:r w:rsidRPr="001C0F07">
        <w:rPr>
          <w:i/>
          <w:iCs/>
          <w:sz w:val="20"/>
          <w:szCs w:val="20"/>
        </w:rPr>
        <w:t>extraction automatique</w:t>
      </w:r>
      <w:r w:rsidRPr="001C0F07">
        <w:rPr>
          <w:i/>
          <w:sz w:val="20"/>
          <w:szCs w:val="20"/>
        </w:rPr>
        <w:t xml:space="preserve"> </w:t>
      </w:r>
      <w:r w:rsidRPr="001C0F07">
        <w:rPr>
          <w:i/>
          <w:iCs/>
          <w:sz w:val="20"/>
          <w:szCs w:val="20"/>
        </w:rPr>
        <w:t>des connaissancesde base</w:t>
      </w:r>
      <w:r w:rsidRPr="001C0F07">
        <w:rPr>
          <w:i/>
          <w:sz w:val="20"/>
          <w:szCs w:val="20"/>
        </w:rPr>
        <w:t xml:space="preserve"> </w:t>
      </w:r>
      <w:r w:rsidRPr="001C0F07">
        <w:rPr>
          <w:i/>
          <w:iCs/>
          <w:sz w:val="20"/>
          <w:szCs w:val="20"/>
        </w:rPr>
        <w:t>des experts</w:t>
      </w:r>
      <w:r w:rsidRPr="001C0F07">
        <w:rPr>
          <w:sz w:val="20"/>
          <w:szCs w:val="20"/>
        </w:rPr>
        <w:t xml:space="preserve">. Communication présentée à </w:t>
      </w:r>
      <w:r w:rsidRPr="001C0F07">
        <w:rPr>
          <w:iCs/>
          <w:sz w:val="20"/>
          <w:szCs w:val="20"/>
        </w:rPr>
        <w:t xml:space="preserve">ERGOIA'88. </w:t>
      </w:r>
      <w:r w:rsidRPr="001C0F07">
        <w:rPr>
          <w:sz w:val="20"/>
          <w:szCs w:val="20"/>
        </w:rPr>
        <w:t>Biarritz, France, Oct.</w:t>
      </w:r>
    </w:p>
    <w:p w:rsidR="00901A04" w:rsidRPr="00901A04" w:rsidRDefault="00901A04" w:rsidP="00901A04">
      <w:pPr>
        <w:jc w:val="both"/>
        <w:rPr>
          <w:sz w:val="20"/>
          <w:szCs w:val="20"/>
          <w:lang w:val="en-GB"/>
        </w:rPr>
      </w:pPr>
      <w:r w:rsidRPr="003C34FD">
        <w:rPr>
          <w:sz w:val="20"/>
          <w:szCs w:val="20"/>
          <w:lang w:val="en-US"/>
        </w:rPr>
        <w:t xml:space="preserve">Brajnik, G., Chittaro, L., Guida, G., Tasso, C., &amp; Toppano, E. (1989). </w:t>
      </w:r>
      <w:r w:rsidRPr="001C0F07">
        <w:rPr>
          <w:i/>
          <w:iCs/>
          <w:sz w:val="20"/>
          <w:szCs w:val="20"/>
          <w:lang w:val="en-GB"/>
        </w:rPr>
        <w:t>The use</w:t>
      </w:r>
      <w:r w:rsidRPr="001C0F07">
        <w:rPr>
          <w:i/>
          <w:sz w:val="20"/>
          <w:szCs w:val="20"/>
          <w:lang w:val="en-GB"/>
        </w:rPr>
        <w:t xml:space="preserve"> </w:t>
      </w:r>
      <w:r w:rsidRPr="001C0F07">
        <w:rPr>
          <w:i/>
          <w:iCs/>
          <w:sz w:val="20"/>
          <w:szCs w:val="20"/>
          <w:lang w:val="en-GB"/>
        </w:rPr>
        <w:t>of many</w:t>
      </w:r>
      <w:r w:rsidRPr="001C0F07">
        <w:rPr>
          <w:i/>
          <w:sz w:val="20"/>
          <w:szCs w:val="20"/>
          <w:lang w:val="en-GB"/>
        </w:rPr>
        <w:t xml:space="preserve"> </w:t>
      </w:r>
      <w:r w:rsidRPr="001C0F07">
        <w:rPr>
          <w:i/>
          <w:iCs/>
          <w:sz w:val="20"/>
          <w:szCs w:val="20"/>
          <w:lang w:val="en-GB"/>
        </w:rPr>
        <w:t>diverse models</w:t>
      </w:r>
      <w:r w:rsidRPr="001C0F07">
        <w:rPr>
          <w:i/>
          <w:sz w:val="20"/>
          <w:szCs w:val="20"/>
          <w:lang w:val="en-GB"/>
        </w:rPr>
        <w:t xml:space="preserve"> </w:t>
      </w:r>
      <w:r w:rsidRPr="001C0F07">
        <w:rPr>
          <w:i/>
          <w:iCs/>
          <w:sz w:val="20"/>
          <w:szCs w:val="20"/>
          <w:lang w:val="en-GB"/>
        </w:rPr>
        <w:t>of anartifact in</w:t>
      </w:r>
      <w:r w:rsidRPr="001C0F07">
        <w:rPr>
          <w:i/>
          <w:sz w:val="20"/>
          <w:szCs w:val="20"/>
          <w:lang w:val="en-GB"/>
        </w:rPr>
        <w:t xml:space="preserve"> </w:t>
      </w:r>
      <w:r w:rsidRPr="001C0F07">
        <w:rPr>
          <w:i/>
          <w:iCs/>
          <w:sz w:val="20"/>
          <w:szCs w:val="20"/>
          <w:lang w:val="en-GB"/>
        </w:rPr>
        <w:t>the design</w:t>
      </w:r>
      <w:r w:rsidRPr="001C0F07">
        <w:rPr>
          <w:i/>
          <w:sz w:val="20"/>
          <w:szCs w:val="20"/>
          <w:lang w:val="en-GB"/>
        </w:rPr>
        <w:t xml:space="preserve"> </w:t>
      </w:r>
      <w:r w:rsidRPr="001C0F07">
        <w:rPr>
          <w:i/>
          <w:iCs/>
          <w:sz w:val="20"/>
          <w:szCs w:val="20"/>
          <w:lang w:val="en-GB"/>
        </w:rPr>
        <w:t>of cognitive</w:t>
      </w:r>
      <w:r w:rsidRPr="001C0F07">
        <w:rPr>
          <w:i/>
          <w:sz w:val="20"/>
          <w:szCs w:val="20"/>
          <w:lang w:val="en-GB"/>
        </w:rPr>
        <w:t xml:space="preserve"> </w:t>
      </w:r>
      <w:r w:rsidRPr="001C0F07">
        <w:rPr>
          <w:i/>
          <w:iCs/>
          <w:sz w:val="20"/>
          <w:szCs w:val="20"/>
          <w:lang w:val="en-GB"/>
        </w:rPr>
        <w:t>aids</w:t>
      </w:r>
      <w:r w:rsidRPr="001C0F07">
        <w:rPr>
          <w:sz w:val="20"/>
          <w:szCs w:val="20"/>
          <w:lang w:val="en-GB"/>
        </w:rPr>
        <w:t xml:space="preserve">. Paper presented at the </w:t>
      </w:r>
      <w:r w:rsidRPr="001C0F07">
        <w:rPr>
          <w:i/>
          <w:iCs/>
          <w:sz w:val="20"/>
          <w:szCs w:val="20"/>
          <w:lang w:val="en-GB"/>
        </w:rPr>
        <w:t>2nd European</w:t>
      </w:r>
      <w:r w:rsidRPr="001C0F07">
        <w:rPr>
          <w:i/>
          <w:sz w:val="20"/>
          <w:szCs w:val="20"/>
          <w:lang w:val="en-GB"/>
        </w:rPr>
        <w:t xml:space="preserve"> </w:t>
      </w:r>
      <w:r w:rsidRPr="001C0F07">
        <w:rPr>
          <w:i/>
          <w:iCs/>
          <w:sz w:val="20"/>
          <w:szCs w:val="20"/>
          <w:lang w:val="en-GB"/>
        </w:rPr>
        <w:t>Meeting on</w:t>
      </w:r>
      <w:r w:rsidRPr="001C0F07">
        <w:rPr>
          <w:i/>
          <w:sz w:val="20"/>
          <w:szCs w:val="20"/>
          <w:lang w:val="en-GB"/>
        </w:rPr>
        <w:t xml:space="preserve"> </w:t>
      </w:r>
      <w:r w:rsidRPr="001C0F07">
        <w:rPr>
          <w:i/>
          <w:iCs/>
          <w:sz w:val="20"/>
          <w:szCs w:val="20"/>
          <w:lang w:val="en-GB"/>
        </w:rPr>
        <w:t>Cognitive ScienceApproaches to</w:t>
      </w:r>
      <w:r w:rsidRPr="001C0F07">
        <w:rPr>
          <w:i/>
          <w:sz w:val="20"/>
          <w:szCs w:val="20"/>
          <w:lang w:val="en-GB"/>
        </w:rPr>
        <w:t xml:space="preserve"> </w:t>
      </w:r>
      <w:r w:rsidRPr="001C0F07">
        <w:rPr>
          <w:i/>
          <w:iCs/>
          <w:sz w:val="20"/>
          <w:szCs w:val="20"/>
          <w:lang w:val="en-GB"/>
        </w:rPr>
        <w:t>Process Control</w:t>
      </w:r>
      <w:r w:rsidRPr="001C0F07">
        <w:rPr>
          <w:sz w:val="20"/>
          <w:szCs w:val="20"/>
          <w:lang w:val="en-GB"/>
        </w:rPr>
        <w:t xml:space="preserve">. </w:t>
      </w:r>
      <w:r w:rsidRPr="00901A04">
        <w:rPr>
          <w:sz w:val="20"/>
          <w:szCs w:val="20"/>
          <w:lang w:val="en-GB"/>
        </w:rPr>
        <w:t>Siena, Italy, Sept.</w:t>
      </w:r>
    </w:p>
    <w:p w:rsidR="00901A04" w:rsidRPr="001C0F07" w:rsidRDefault="00901A04" w:rsidP="00901A04">
      <w:pPr>
        <w:jc w:val="both"/>
        <w:rPr>
          <w:sz w:val="20"/>
          <w:szCs w:val="20"/>
          <w:lang w:val="en-GB"/>
        </w:rPr>
      </w:pPr>
      <w:r w:rsidRPr="001C0F07">
        <w:rPr>
          <w:sz w:val="20"/>
          <w:szCs w:val="20"/>
          <w:lang w:val="en-GB"/>
        </w:rPr>
        <w:t xml:space="preserve">Lind, M. (1990). </w:t>
      </w:r>
      <w:r w:rsidRPr="001C0F07">
        <w:rPr>
          <w:i/>
          <w:iCs/>
          <w:sz w:val="20"/>
          <w:szCs w:val="20"/>
          <w:lang w:val="en-GB"/>
        </w:rPr>
        <w:t>Representing goals</w:t>
      </w:r>
      <w:r w:rsidRPr="001C0F07">
        <w:rPr>
          <w:i/>
          <w:sz w:val="20"/>
          <w:szCs w:val="20"/>
          <w:lang w:val="en-GB"/>
        </w:rPr>
        <w:t xml:space="preserve"> </w:t>
      </w:r>
      <w:r w:rsidRPr="001C0F07">
        <w:rPr>
          <w:i/>
          <w:iCs/>
          <w:sz w:val="20"/>
          <w:szCs w:val="20"/>
          <w:lang w:val="en-GB"/>
        </w:rPr>
        <w:t>and functions</w:t>
      </w:r>
      <w:r w:rsidRPr="001C0F07">
        <w:rPr>
          <w:i/>
          <w:sz w:val="20"/>
          <w:szCs w:val="20"/>
          <w:lang w:val="en-GB"/>
        </w:rPr>
        <w:t xml:space="preserve"> </w:t>
      </w:r>
      <w:r w:rsidRPr="001C0F07">
        <w:rPr>
          <w:i/>
          <w:iCs/>
          <w:sz w:val="20"/>
          <w:szCs w:val="20"/>
          <w:lang w:val="en-GB"/>
        </w:rPr>
        <w:t>of complex</w:t>
      </w:r>
      <w:r w:rsidRPr="001C0F07">
        <w:rPr>
          <w:i/>
          <w:sz w:val="20"/>
          <w:szCs w:val="20"/>
          <w:lang w:val="en-GB"/>
        </w:rPr>
        <w:t xml:space="preserve"> </w:t>
      </w:r>
      <w:r w:rsidRPr="001C0F07">
        <w:rPr>
          <w:i/>
          <w:iCs/>
          <w:sz w:val="20"/>
          <w:szCs w:val="20"/>
          <w:lang w:val="en-GB"/>
        </w:rPr>
        <w:t>systems: an</w:t>
      </w:r>
      <w:r w:rsidRPr="001C0F07">
        <w:rPr>
          <w:i/>
          <w:sz w:val="20"/>
          <w:szCs w:val="20"/>
          <w:lang w:val="en-GB"/>
        </w:rPr>
        <w:t xml:space="preserve"> </w:t>
      </w:r>
      <w:r w:rsidRPr="001C0F07">
        <w:rPr>
          <w:i/>
          <w:iCs/>
          <w:sz w:val="20"/>
          <w:szCs w:val="20"/>
          <w:lang w:val="en-GB"/>
        </w:rPr>
        <w:t>introduction to</w:t>
      </w:r>
      <w:r w:rsidRPr="001C0F07">
        <w:rPr>
          <w:i/>
          <w:sz w:val="20"/>
          <w:szCs w:val="20"/>
          <w:lang w:val="en-GB"/>
        </w:rPr>
        <w:t xml:space="preserve"> </w:t>
      </w:r>
      <w:r w:rsidRPr="001C0F07">
        <w:rPr>
          <w:i/>
          <w:iCs/>
          <w:sz w:val="20"/>
          <w:szCs w:val="20"/>
          <w:lang w:val="en-GB"/>
        </w:rPr>
        <w:t>Multi FlowModelling</w:t>
      </w:r>
      <w:r w:rsidRPr="001C0F07">
        <w:rPr>
          <w:iCs/>
          <w:sz w:val="20"/>
          <w:szCs w:val="20"/>
          <w:lang w:val="en-GB"/>
        </w:rPr>
        <w:t xml:space="preserve"> </w:t>
      </w:r>
      <w:r w:rsidRPr="001C0F07">
        <w:rPr>
          <w:sz w:val="20"/>
          <w:szCs w:val="20"/>
          <w:lang w:val="en-GB"/>
        </w:rPr>
        <w:t>(Report No. 90-D-381)</w:t>
      </w:r>
      <w:r w:rsidRPr="001C0F07">
        <w:rPr>
          <w:iCs/>
          <w:sz w:val="20"/>
          <w:szCs w:val="20"/>
          <w:lang w:val="en-GB"/>
        </w:rPr>
        <w:t xml:space="preserve">. </w:t>
      </w:r>
      <w:smartTag w:uri="urn:schemas-microsoft-com:office:smarttags" w:element="City">
        <w:smartTag w:uri="urn:schemas-microsoft-com:office:smarttags" w:element="place">
          <w:r w:rsidRPr="001C0F07">
            <w:rPr>
              <w:sz w:val="20"/>
              <w:szCs w:val="20"/>
              <w:lang w:val="en-GB"/>
            </w:rPr>
            <w:t>Copenhagen</w:t>
          </w:r>
        </w:smartTag>
      </w:smartTag>
      <w:r w:rsidRPr="001C0F07">
        <w:rPr>
          <w:sz w:val="20"/>
          <w:szCs w:val="20"/>
          <w:lang w:val="en-GB"/>
        </w:rPr>
        <w:t xml:space="preserve">: </w:t>
      </w:r>
      <w:smartTag w:uri="urn:schemas-microsoft-com:office:smarttags" w:element="place">
        <w:smartTag w:uri="urn:schemas-microsoft-com:office:smarttags" w:element="PlaceName">
          <w:r w:rsidRPr="001C0F07">
            <w:rPr>
              <w:sz w:val="20"/>
              <w:szCs w:val="20"/>
              <w:lang w:val="en-GB"/>
            </w:rPr>
            <w:t>Technical</w:t>
          </w:r>
        </w:smartTag>
        <w:r w:rsidRPr="001C0F07">
          <w:rPr>
            <w:sz w:val="20"/>
            <w:szCs w:val="20"/>
            <w:lang w:val="en-GB"/>
          </w:rPr>
          <w:t xml:space="preserve"> </w:t>
        </w:r>
        <w:smartTag w:uri="urn:schemas-microsoft-com:office:smarttags" w:element="PlaceType">
          <w:r w:rsidRPr="001C0F07">
            <w:rPr>
              <w:sz w:val="20"/>
              <w:szCs w:val="20"/>
              <w:lang w:val="en-GB"/>
            </w:rPr>
            <w:t>University</w:t>
          </w:r>
        </w:smartTag>
      </w:smartTag>
      <w:r w:rsidRPr="001C0F07">
        <w:rPr>
          <w:sz w:val="20"/>
          <w:szCs w:val="20"/>
          <w:lang w:val="en-GB"/>
        </w:rPr>
        <w:t xml:space="preserve"> of </w:t>
      </w:r>
      <w:smartTag w:uri="urn:schemas-microsoft-com:office:smarttags" w:element="country-region">
        <w:smartTag w:uri="urn:schemas-microsoft-com:office:smarttags" w:element="place">
          <w:r w:rsidRPr="001C0F07">
            <w:rPr>
              <w:sz w:val="20"/>
              <w:szCs w:val="20"/>
              <w:lang w:val="en-GB"/>
            </w:rPr>
            <w:t>Denmark</w:t>
          </w:r>
        </w:smartTag>
      </w:smartTag>
      <w:r w:rsidRPr="001C0F07">
        <w:rPr>
          <w:sz w:val="20"/>
          <w:szCs w:val="20"/>
          <w:lang w:val="en-GB"/>
        </w:rPr>
        <w:t>, Institute of Automatic Control Systems.</w:t>
      </w:r>
    </w:p>
    <w:p w:rsidR="00901A04" w:rsidRPr="001C0F07" w:rsidRDefault="00901A04" w:rsidP="00901A04">
      <w:pPr>
        <w:jc w:val="both"/>
        <w:rPr>
          <w:sz w:val="20"/>
          <w:szCs w:val="20"/>
        </w:rPr>
      </w:pPr>
      <w:r w:rsidRPr="001C0F07">
        <w:rPr>
          <w:sz w:val="20"/>
          <w:szCs w:val="20"/>
        </w:rPr>
        <w:t xml:space="preserve">Bressolle, M.C. (1993). </w:t>
      </w:r>
      <w:r w:rsidRPr="001C0F07">
        <w:rPr>
          <w:i/>
          <w:iCs/>
          <w:sz w:val="20"/>
          <w:szCs w:val="20"/>
        </w:rPr>
        <w:t>Contribution à l'étude de la perception de l'intention et de la coopération</w:t>
      </w:r>
      <w:r w:rsidRPr="001C0F07">
        <w:rPr>
          <w:iCs/>
          <w:sz w:val="20"/>
          <w:szCs w:val="20"/>
        </w:rPr>
        <w:t xml:space="preserve">. </w:t>
      </w:r>
      <w:r w:rsidRPr="001C0F07">
        <w:rPr>
          <w:sz w:val="20"/>
          <w:szCs w:val="20"/>
        </w:rPr>
        <w:t>Mémoire de DEA, Université de Toulouse-le-Mirail.</w:t>
      </w:r>
    </w:p>
    <w:p w:rsidR="00901A04" w:rsidRPr="001C0F07" w:rsidRDefault="00901A04" w:rsidP="00901A04">
      <w:pPr>
        <w:jc w:val="both"/>
        <w:rPr>
          <w:sz w:val="20"/>
          <w:szCs w:val="20"/>
          <w:lang w:val="en-GB"/>
        </w:rPr>
      </w:pPr>
      <w:r w:rsidRPr="003C34FD">
        <w:rPr>
          <w:sz w:val="20"/>
          <w:szCs w:val="20"/>
          <w:lang w:val="en-US"/>
        </w:rPr>
        <w:t xml:space="preserve">Ryerson, J.F. (1983). </w:t>
      </w:r>
      <w:r w:rsidRPr="001C0F07">
        <w:rPr>
          <w:i/>
          <w:iCs/>
          <w:sz w:val="20"/>
          <w:szCs w:val="20"/>
          <w:lang w:val="en-GB"/>
        </w:rPr>
        <w:t>Effective management training: two models</w:t>
      </w:r>
      <w:r w:rsidRPr="001C0F07">
        <w:rPr>
          <w:iCs/>
          <w:sz w:val="20"/>
          <w:szCs w:val="20"/>
          <w:lang w:val="en-GB"/>
        </w:rPr>
        <w:t xml:space="preserve">. </w:t>
      </w:r>
      <w:r w:rsidRPr="001C0F07">
        <w:rPr>
          <w:sz w:val="20"/>
          <w:szCs w:val="20"/>
          <w:lang w:val="en-GB"/>
        </w:rPr>
        <w:t>Master's thesis, Clarkson College of Technology, Potsdam, NY.</w:t>
      </w:r>
    </w:p>
    <w:p w:rsidR="000F3698" w:rsidRDefault="00901A04" w:rsidP="00901A04">
      <w:pPr>
        <w:jc w:val="both"/>
        <w:rPr>
          <w:sz w:val="20"/>
          <w:szCs w:val="20"/>
        </w:rPr>
      </w:pPr>
      <w:r w:rsidRPr="001C0F07">
        <w:rPr>
          <w:sz w:val="20"/>
          <w:szCs w:val="20"/>
          <w:lang w:val="en-GB"/>
        </w:rPr>
        <w:t xml:space="preserve">Sénach, B. (1984). </w:t>
      </w:r>
      <w:r w:rsidRPr="001C0F07">
        <w:rPr>
          <w:i/>
          <w:iCs/>
          <w:sz w:val="20"/>
          <w:szCs w:val="20"/>
        </w:rPr>
        <w:t>Assistance à</w:t>
      </w:r>
      <w:r w:rsidRPr="001C0F07">
        <w:rPr>
          <w:i/>
          <w:sz w:val="20"/>
          <w:szCs w:val="20"/>
        </w:rPr>
        <w:t xml:space="preserve"> </w:t>
      </w:r>
      <w:r w:rsidRPr="001C0F07">
        <w:rPr>
          <w:i/>
          <w:iCs/>
          <w:sz w:val="20"/>
          <w:szCs w:val="20"/>
        </w:rPr>
        <w:t>la résolutiond'incident dans les systèmes</w:t>
      </w:r>
      <w:r w:rsidRPr="001C0F07">
        <w:rPr>
          <w:i/>
          <w:sz w:val="20"/>
          <w:szCs w:val="20"/>
        </w:rPr>
        <w:t xml:space="preserve"> </w:t>
      </w:r>
      <w:r w:rsidRPr="001C0F07">
        <w:rPr>
          <w:i/>
          <w:iCs/>
          <w:sz w:val="20"/>
          <w:szCs w:val="20"/>
        </w:rPr>
        <w:t>dynamiques: réductionde l'espace-problème et routines cognitives</w:t>
      </w:r>
      <w:r w:rsidRPr="001C0F07">
        <w:rPr>
          <w:iCs/>
          <w:sz w:val="20"/>
          <w:szCs w:val="20"/>
        </w:rPr>
        <w:t xml:space="preserve">. </w:t>
      </w:r>
      <w:r w:rsidRPr="001C0F07">
        <w:rPr>
          <w:sz w:val="20"/>
          <w:szCs w:val="20"/>
        </w:rPr>
        <w:t>Thèse, Université René-Descartes, Paris.</w:t>
      </w:r>
    </w:p>
    <w:p w:rsidR="00901A04" w:rsidRPr="001C0F07" w:rsidRDefault="00901A04" w:rsidP="00901A04">
      <w:pPr>
        <w:jc w:val="both"/>
        <w:rPr>
          <w:sz w:val="20"/>
          <w:szCs w:val="20"/>
        </w:rPr>
      </w:pPr>
      <w:r w:rsidRPr="003C34FD">
        <w:rPr>
          <w:sz w:val="20"/>
          <w:szCs w:val="20"/>
          <w:lang w:val="en-US"/>
        </w:rPr>
        <w:t>Brazier, F.M.T. (1991).</w:t>
      </w:r>
      <w:r w:rsidRPr="003C34FD">
        <w:rPr>
          <w:iCs/>
          <w:sz w:val="20"/>
          <w:szCs w:val="20"/>
          <w:lang w:val="en-US"/>
        </w:rPr>
        <w:t xml:space="preserve"> </w:t>
      </w:r>
      <w:r w:rsidRPr="003C34FD">
        <w:rPr>
          <w:i/>
          <w:iCs/>
          <w:sz w:val="20"/>
          <w:szCs w:val="20"/>
          <w:lang w:val="en-US"/>
        </w:rPr>
        <w:t>Design and evaluation of a user interface for information retrieval</w:t>
      </w:r>
      <w:r w:rsidRPr="003C34FD">
        <w:rPr>
          <w:iCs/>
          <w:sz w:val="20"/>
          <w:szCs w:val="20"/>
          <w:lang w:val="en-US"/>
        </w:rPr>
        <w:t xml:space="preserve">. </w:t>
      </w:r>
      <w:r w:rsidRPr="001C0F07">
        <w:rPr>
          <w:sz w:val="20"/>
          <w:szCs w:val="20"/>
        </w:rPr>
        <w:t>Doctoral dissertation, Vrije Universiteit, Amsterdam.</w:t>
      </w:r>
    </w:p>
    <w:p w:rsidR="00901A04" w:rsidRPr="00901A04" w:rsidRDefault="00901A04" w:rsidP="00901A04">
      <w:pPr>
        <w:jc w:val="both"/>
        <w:rPr>
          <w:sz w:val="20"/>
          <w:szCs w:val="20"/>
          <w:lang w:val="en-GB"/>
        </w:rPr>
      </w:pPr>
      <w:r w:rsidRPr="00901A04">
        <w:rPr>
          <w:sz w:val="20"/>
          <w:szCs w:val="20"/>
          <w:lang w:val="en-GB"/>
        </w:rPr>
        <w:t xml:space="preserve">Luria, A.R. (1969). </w:t>
      </w:r>
      <w:r w:rsidRPr="001C0F07">
        <w:rPr>
          <w:i/>
          <w:iCs/>
          <w:sz w:val="20"/>
          <w:szCs w:val="20"/>
          <w:lang w:val="en-GB"/>
        </w:rPr>
        <w:t>The mind</w:t>
      </w:r>
      <w:r w:rsidRPr="001C0F07">
        <w:rPr>
          <w:i/>
          <w:sz w:val="20"/>
          <w:szCs w:val="20"/>
          <w:lang w:val="en-GB"/>
        </w:rPr>
        <w:t xml:space="preserve"> </w:t>
      </w:r>
      <w:r w:rsidRPr="001C0F07">
        <w:rPr>
          <w:i/>
          <w:iCs/>
          <w:sz w:val="20"/>
          <w:szCs w:val="20"/>
          <w:lang w:val="en-GB"/>
        </w:rPr>
        <w:t>of a</w:t>
      </w:r>
      <w:r w:rsidRPr="001C0F07">
        <w:rPr>
          <w:i/>
          <w:sz w:val="20"/>
          <w:szCs w:val="20"/>
          <w:lang w:val="en-GB"/>
        </w:rPr>
        <w:t xml:space="preserve"> </w:t>
      </w:r>
      <w:r w:rsidRPr="001C0F07">
        <w:rPr>
          <w:i/>
          <w:iCs/>
          <w:sz w:val="20"/>
          <w:szCs w:val="20"/>
          <w:lang w:val="en-GB"/>
        </w:rPr>
        <w:t>mnemonist</w:t>
      </w:r>
      <w:r w:rsidRPr="001C0F07">
        <w:rPr>
          <w:sz w:val="20"/>
          <w:szCs w:val="20"/>
          <w:lang w:val="en-GB"/>
        </w:rPr>
        <w:t xml:space="preserve"> (L. Solotaroff, Trans.). </w:t>
      </w:r>
      <w:smartTag w:uri="urn:schemas-microsoft-com:office:smarttags" w:element="State">
        <w:smartTag w:uri="urn:schemas-microsoft-com:office:smarttags" w:element="place">
          <w:r w:rsidRPr="001C0F07">
            <w:rPr>
              <w:sz w:val="20"/>
              <w:szCs w:val="20"/>
              <w:lang w:val="en-GB"/>
            </w:rPr>
            <w:t>New York</w:t>
          </w:r>
        </w:smartTag>
      </w:smartTag>
      <w:r w:rsidRPr="001C0F07">
        <w:rPr>
          <w:sz w:val="20"/>
          <w:szCs w:val="20"/>
          <w:lang w:val="en-GB"/>
        </w:rPr>
        <w:t xml:space="preserve">: </w:t>
      </w:r>
      <w:smartTag w:uri="urn:schemas-microsoft-com:office:smarttags" w:element="place">
        <w:r w:rsidRPr="001C0F07">
          <w:rPr>
            <w:sz w:val="20"/>
            <w:szCs w:val="20"/>
            <w:lang w:val="en-GB"/>
          </w:rPr>
          <w:t>Avon</w:t>
        </w:r>
      </w:smartTag>
      <w:r w:rsidRPr="001C0F07">
        <w:rPr>
          <w:sz w:val="20"/>
          <w:szCs w:val="20"/>
          <w:lang w:val="en-GB"/>
        </w:rPr>
        <w:t xml:space="preserve"> Books. (Original work published 1965).</w:t>
      </w:r>
    </w:p>
    <w:p w:rsidR="00901A04" w:rsidRPr="001C0F07" w:rsidRDefault="00901A04" w:rsidP="00901A04">
      <w:pPr>
        <w:jc w:val="both"/>
        <w:rPr>
          <w:sz w:val="20"/>
          <w:szCs w:val="20"/>
        </w:rPr>
      </w:pPr>
      <w:r w:rsidRPr="003C34FD">
        <w:rPr>
          <w:sz w:val="20"/>
          <w:szCs w:val="20"/>
        </w:rPr>
        <w:t xml:space="preserve">Reason, J. (1993). </w:t>
      </w:r>
      <w:r w:rsidRPr="003C34FD">
        <w:rPr>
          <w:i/>
          <w:iCs/>
          <w:sz w:val="20"/>
          <w:szCs w:val="20"/>
        </w:rPr>
        <w:t>L'erreur humaine</w:t>
      </w:r>
      <w:r w:rsidRPr="003C34FD">
        <w:rPr>
          <w:sz w:val="20"/>
          <w:szCs w:val="20"/>
        </w:rPr>
        <w:t xml:space="preserve"> (J.M. Hoc, Trad.). </w:t>
      </w:r>
      <w:r w:rsidRPr="001C0F07">
        <w:rPr>
          <w:sz w:val="20"/>
          <w:szCs w:val="20"/>
        </w:rPr>
        <w:t xml:space="preserve">Paris: Presses Universitaires de France. (Édition originale, 1990). </w:t>
      </w:r>
    </w:p>
    <w:sectPr w:rsidR="00901A04" w:rsidRPr="001C0F07" w:rsidSect="000F3698">
      <w:head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27" w:rsidRDefault="00580327">
      <w:r>
        <w:separator/>
      </w:r>
    </w:p>
  </w:endnote>
  <w:endnote w:type="continuationSeparator" w:id="0">
    <w:p w:rsidR="00580327" w:rsidRDefault="005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27" w:rsidRDefault="00580327">
      <w:r>
        <w:separator/>
      </w:r>
    </w:p>
  </w:footnote>
  <w:footnote w:type="continuationSeparator" w:id="0">
    <w:p w:rsidR="00580327" w:rsidRDefault="0058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74" w:rsidRDefault="00F932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E67"/>
    <w:multiLevelType w:val="hybridMultilevel"/>
    <w:tmpl w:val="E40887E4"/>
    <w:lvl w:ilvl="0" w:tplc="040C0011">
      <w:start w:val="1"/>
      <w:numFmt w:val="decimal"/>
      <w:lvlText w:val="%1)"/>
      <w:lvlJc w:val="left"/>
      <w:pPr>
        <w:tabs>
          <w:tab w:val="num" w:pos="530"/>
        </w:tabs>
        <w:ind w:left="53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25C07AF"/>
    <w:multiLevelType w:val="multilevel"/>
    <w:tmpl w:val="AAD68898"/>
    <w:lvl w:ilvl="0">
      <w:start w:val="1"/>
      <w:numFmt w:val="decimal"/>
      <w:lvlText w:val="%1."/>
      <w:lvlJc w:val="left"/>
      <w:pPr>
        <w:tabs>
          <w:tab w:val="num" w:pos="530"/>
        </w:tabs>
        <w:ind w:left="53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552629"/>
    <w:multiLevelType w:val="hybridMultilevel"/>
    <w:tmpl w:val="49FCBC52"/>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0550483"/>
    <w:multiLevelType w:val="multilevel"/>
    <w:tmpl w:val="66E828D6"/>
    <w:lvl w:ilvl="0">
      <w:start w:val="1"/>
      <w:numFmt w:val="decimal"/>
      <w:lvlText w:val="%1)"/>
      <w:lvlJc w:val="left"/>
      <w:pPr>
        <w:tabs>
          <w:tab w:val="num" w:pos="530"/>
        </w:tabs>
        <w:ind w:left="53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318067D"/>
    <w:multiLevelType w:val="hybridMultilevel"/>
    <w:tmpl w:val="C116EACC"/>
    <w:lvl w:ilvl="0" w:tplc="02F6FD16">
      <w:start w:val="2"/>
      <w:numFmt w:val="bullet"/>
      <w:lvlText w:val="-"/>
      <w:lvlJc w:val="left"/>
      <w:pPr>
        <w:tabs>
          <w:tab w:val="num" w:pos="720"/>
        </w:tabs>
        <w:ind w:left="720" w:hanging="360"/>
      </w:pPr>
      <w:rPr>
        <w:rFonts w:ascii="Times New Roman" w:eastAsia="Times New Roman" w:hAnsi="Times New Roman" w:cs="Times New Roman" w:hint="default"/>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69971F2"/>
    <w:multiLevelType w:val="hybridMultilevel"/>
    <w:tmpl w:val="219CA682"/>
    <w:lvl w:ilvl="0" w:tplc="C5DAFA1C">
      <w:start w:val="1"/>
      <w:numFmt w:val="bullet"/>
      <w:lvlText w:val=""/>
      <w:lvlJc w:val="left"/>
      <w:pPr>
        <w:tabs>
          <w:tab w:val="num" w:pos="567"/>
        </w:tabs>
        <w:ind w:left="567" w:hanging="39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E6633A5"/>
    <w:multiLevelType w:val="multilevel"/>
    <w:tmpl w:val="219CA682"/>
    <w:lvl w:ilvl="0">
      <w:start w:val="1"/>
      <w:numFmt w:val="bullet"/>
      <w:lvlText w:val=""/>
      <w:lvlJc w:val="left"/>
      <w:pPr>
        <w:tabs>
          <w:tab w:val="num" w:pos="567"/>
        </w:tabs>
        <w:ind w:left="56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5668AE"/>
    <w:multiLevelType w:val="hybridMultilevel"/>
    <w:tmpl w:val="AAD68898"/>
    <w:lvl w:ilvl="0" w:tplc="040C000F">
      <w:start w:val="1"/>
      <w:numFmt w:val="decimal"/>
      <w:lvlText w:val="%1."/>
      <w:lvlJc w:val="left"/>
      <w:pPr>
        <w:tabs>
          <w:tab w:val="num" w:pos="530"/>
        </w:tabs>
        <w:ind w:left="53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4C04B53"/>
    <w:multiLevelType w:val="hybridMultilevel"/>
    <w:tmpl w:val="C4E873A0"/>
    <w:lvl w:ilvl="0" w:tplc="040C0011">
      <w:start w:val="1"/>
      <w:numFmt w:val="decimal"/>
      <w:lvlText w:val="%1)"/>
      <w:lvlJc w:val="left"/>
      <w:pPr>
        <w:tabs>
          <w:tab w:val="num" w:pos="530"/>
        </w:tabs>
        <w:ind w:left="530" w:hanging="360"/>
      </w:pPr>
    </w:lvl>
    <w:lvl w:ilvl="1" w:tplc="040C0019" w:tentative="1">
      <w:start w:val="1"/>
      <w:numFmt w:val="lowerLetter"/>
      <w:lvlText w:val="%2."/>
      <w:lvlJc w:val="left"/>
      <w:pPr>
        <w:tabs>
          <w:tab w:val="num" w:pos="1250"/>
        </w:tabs>
        <w:ind w:left="1250" w:hanging="360"/>
      </w:pPr>
    </w:lvl>
    <w:lvl w:ilvl="2" w:tplc="040C001B" w:tentative="1">
      <w:start w:val="1"/>
      <w:numFmt w:val="lowerRoman"/>
      <w:lvlText w:val="%3."/>
      <w:lvlJc w:val="right"/>
      <w:pPr>
        <w:tabs>
          <w:tab w:val="num" w:pos="1970"/>
        </w:tabs>
        <w:ind w:left="1970" w:hanging="180"/>
      </w:pPr>
    </w:lvl>
    <w:lvl w:ilvl="3" w:tplc="040C000F" w:tentative="1">
      <w:start w:val="1"/>
      <w:numFmt w:val="decimal"/>
      <w:lvlText w:val="%4."/>
      <w:lvlJc w:val="left"/>
      <w:pPr>
        <w:tabs>
          <w:tab w:val="num" w:pos="2690"/>
        </w:tabs>
        <w:ind w:left="2690" w:hanging="360"/>
      </w:pPr>
    </w:lvl>
    <w:lvl w:ilvl="4" w:tplc="040C0019" w:tentative="1">
      <w:start w:val="1"/>
      <w:numFmt w:val="lowerLetter"/>
      <w:lvlText w:val="%5."/>
      <w:lvlJc w:val="left"/>
      <w:pPr>
        <w:tabs>
          <w:tab w:val="num" w:pos="3410"/>
        </w:tabs>
        <w:ind w:left="3410" w:hanging="360"/>
      </w:pPr>
    </w:lvl>
    <w:lvl w:ilvl="5" w:tplc="040C001B" w:tentative="1">
      <w:start w:val="1"/>
      <w:numFmt w:val="lowerRoman"/>
      <w:lvlText w:val="%6."/>
      <w:lvlJc w:val="right"/>
      <w:pPr>
        <w:tabs>
          <w:tab w:val="num" w:pos="4130"/>
        </w:tabs>
        <w:ind w:left="4130" w:hanging="180"/>
      </w:pPr>
    </w:lvl>
    <w:lvl w:ilvl="6" w:tplc="040C000F" w:tentative="1">
      <w:start w:val="1"/>
      <w:numFmt w:val="decimal"/>
      <w:lvlText w:val="%7."/>
      <w:lvlJc w:val="left"/>
      <w:pPr>
        <w:tabs>
          <w:tab w:val="num" w:pos="4850"/>
        </w:tabs>
        <w:ind w:left="4850" w:hanging="360"/>
      </w:pPr>
    </w:lvl>
    <w:lvl w:ilvl="7" w:tplc="040C0019" w:tentative="1">
      <w:start w:val="1"/>
      <w:numFmt w:val="lowerLetter"/>
      <w:lvlText w:val="%8."/>
      <w:lvlJc w:val="left"/>
      <w:pPr>
        <w:tabs>
          <w:tab w:val="num" w:pos="5570"/>
        </w:tabs>
        <w:ind w:left="5570" w:hanging="360"/>
      </w:pPr>
    </w:lvl>
    <w:lvl w:ilvl="8" w:tplc="040C001B" w:tentative="1">
      <w:start w:val="1"/>
      <w:numFmt w:val="lowerRoman"/>
      <w:lvlText w:val="%9."/>
      <w:lvlJc w:val="right"/>
      <w:pPr>
        <w:tabs>
          <w:tab w:val="num" w:pos="6290"/>
        </w:tabs>
        <w:ind w:left="6290" w:hanging="180"/>
      </w:pPr>
    </w:lvl>
  </w:abstractNum>
  <w:abstractNum w:abstractNumId="9">
    <w:nsid w:val="7AD7556C"/>
    <w:multiLevelType w:val="hybridMultilevel"/>
    <w:tmpl w:val="A3CAEA52"/>
    <w:lvl w:ilvl="0" w:tplc="EFA405C0">
      <w:start w:val="1"/>
      <w:numFmt w:val="bullet"/>
      <w:lvlText w:val=""/>
      <w:lvlJc w:val="left"/>
      <w:pPr>
        <w:tabs>
          <w:tab w:val="num" w:pos="357"/>
        </w:tabs>
        <w:ind w:left="357" w:hanging="357"/>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C366FE5"/>
    <w:multiLevelType w:val="multilevel"/>
    <w:tmpl w:val="A3CAEA5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9"/>
  </w:num>
  <w:num w:numId="6">
    <w:abstractNumId w:val="10"/>
  </w:num>
  <w:num w:numId="7">
    <w:abstractNumId w:val="7"/>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9A"/>
    <w:rsid w:val="00056872"/>
    <w:rsid w:val="000571A8"/>
    <w:rsid w:val="00064F51"/>
    <w:rsid w:val="000A14B6"/>
    <w:rsid w:val="000A3743"/>
    <w:rsid w:val="000A5586"/>
    <w:rsid w:val="000B12C5"/>
    <w:rsid w:val="000B4EF8"/>
    <w:rsid w:val="000B58E3"/>
    <w:rsid w:val="000C0C3A"/>
    <w:rsid w:val="000D3E73"/>
    <w:rsid w:val="000E42BD"/>
    <w:rsid w:val="000E4363"/>
    <w:rsid w:val="000E6186"/>
    <w:rsid w:val="000F3698"/>
    <w:rsid w:val="001012EF"/>
    <w:rsid w:val="00135140"/>
    <w:rsid w:val="00140BA0"/>
    <w:rsid w:val="00146CBD"/>
    <w:rsid w:val="00153A63"/>
    <w:rsid w:val="0016471E"/>
    <w:rsid w:val="001C0F07"/>
    <w:rsid w:val="001C4C7C"/>
    <w:rsid w:val="001D61A2"/>
    <w:rsid w:val="001E3C06"/>
    <w:rsid w:val="001E52B5"/>
    <w:rsid w:val="001F1712"/>
    <w:rsid w:val="001F3776"/>
    <w:rsid w:val="0020383F"/>
    <w:rsid w:val="0020579C"/>
    <w:rsid w:val="00210C0B"/>
    <w:rsid w:val="00215CF4"/>
    <w:rsid w:val="00221A70"/>
    <w:rsid w:val="00227F8E"/>
    <w:rsid w:val="0025322B"/>
    <w:rsid w:val="0025754E"/>
    <w:rsid w:val="00260303"/>
    <w:rsid w:val="002915EC"/>
    <w:rsid w:val="00294452"/>
    <w:rsid w:val="002A5493"/>
    <w:rsid w:val="002D237C"/>
    <w:rsid w:val="002E5FC7"/>
    <w:rsid w:val="00314227"/>
    <w:rsid w:val="00330F71"/>
    <w:rsid w:val="00332978"/>
    <w:rsid w:val="003432F6"/>
    <w:rsid w:val="00346948"/>
    <w:rsid w:val="00370ECB"/>
    <w:rsid w:val="00382E34"/>
    <w:rsid w:val="00383C54"/>
    <w:rsid w:val="00392F6B"/>
    <w:rsid w:val="003B4626"/>
    <w:rsid w:val="003B6B08"/>
    <w:rsid w:val="003C183B"/>
    <w:rsid w:val="003C34FD"/>
    <w:rsid w:val="003C7FED"/>
    <w:rsid w:val="003E5541"/>
    <w:rsid w:val="00401FDE"/>
    <w:rsid w:val="00414AF9"/>
    <w:rsid w:val="00423EC3"/>
    <w:rsid w:val="00466CFC"/>
    <w:rsid w:val="00466ED3"/>
    <w:rsid w:val="00472401"/>
    <w:rsid w:val="00472DCD"/>
    <w:rsid w:val="00475C80"/>
    <w:rsid w:val="00481C2A"/>
    <w:rsid w:val="004C2376"/>
    <w:rsid w:val="004D2E92"/>
    <w:rsid w:val="004D3D6E"/>
    <w:rsid w:val="004D4C51"/>
    <w:rsid w:val="004D7664"/>
    <w:rsid w:val="004E1E9E"/>
    <w:rsid w:val="004E3053"/>
    <w:rsid w:val="004E3C1D"/>
    <w:rsid w:val="00514115"/>
    <w:rsid w:val="00540021"/>
    <w:rsid w:val="00543E91"/>
    <w:rsid w:val="00544AE3"/>
    <w:rsid w:val="00570C24"/>
    <w:rsid w:val="00580327"/>
    <w:rsid w:val="005B1EEB"/>
    <w:rsid w:val="005B5885"/>
    <w:rsid w:val="005C191C"/>
    <w:rsid w:val="005D0450"/>
    <w:rsid w:val="005E1202"/>
    <w:rsid w:val="005E144F"/>
    <w:rsid w:val="005E54E3"/>
    <w:rsid w:val="005E6963"/>
    <w:rsid w:val="005F3D4B"/>
    <w:rsid w:val="005F7225"/>
    <w:rsid w:val="0060136F"/>
    <w:rsid w:val="00605843"/>
    <w:rsid w:val="006103DA"/>
    <w:rsid w:val="00633878"/>
    <w:rsid w:val="00643606"/>
    <w:rsid w:val="006459CB"/>
    <w:rsid w:val="0066709E"/>
    <w:rsid w:val="00671A81"/>
    <w:rsid w:val="006724E5"/>
    <w:rsid w:val="00682EF8"/>
    <w:rsid w:val="00693FE5"/>
    <w:rsid w:val="006B24CD"/>
    <w:rsid w:val="006B6610"/>
    <w:rsid w:val="006C36AE"/>
    <w:rsid w:val="006D659D"/>
    <w:rsid w:val="00705838"/>
    <w:rsid w:val="00705916"/>
    <w:rsid w:val="00727C76"/>
    <w:rsid w:val="00727DB2"/>
    <w:rsid w:val="007302A8"/>
    <w:rsid w:val="007344E7"/>
    <w:rsid w:val="00747837"/>
    <w:rsid w:val="007512A8"/>
    <w:rsid w:val="0076010F"/>
    <w:rsid w:val="007715F3"/>
    <w:rsid w:val="0077655B"/>
    <w:rsid w:val="00785A5E"/>
    <w:rsid w:val="0079049E"/>
    <w:rsid w:val="007B6B89"/>
    <w:rsid w:val="007D33D3"/>
    <w:rsid w:val="007F235A"/>
    <w:rsid w:val="007F7F51"/>
    <w:rsid w:val="008001C8"/>
    <w:rsid w:val="00806DBF"/>
    <w:rsid w:val="008403B9"/>
    <w:rsid w:val="008410B0"/>
    <w:rsid w:val="008562C8"/>
    <w:rsid w:val="00880C7B"/>
    <w:rsid w:val="00886A15"/>
    <w:rsid w:val="00890120"/>
    <w:rsid w:val="00891E98"/>
    <w:rsid w:val="008923ED"/>
    <w:rsid w:val="00893347"/>
    <w:rsid w:val="0089799E"/>
    <w:rsid w:val="008A6D3F"/>
    <w:rsid w:val="008B403F"/>
    <w:rsid w:val="008D7D58"/>
    <w:rsid w:val="00901A04"/>
    <w:rsid w:val="009063BA"/>
    <w:rsid w:val="00920CC9"/>
    <w:rsid w:val="00925105"/>
    <w:rsid w:val="00931ED1"/>
    <w:rsid w:val="009416B1"/>
    <w:rsid w:val="0094684C"/>
    <w:rsid w:val="00950050"/>
    <w:rsid w:val="00974DAD"/>
    <w:rsid w:val="0097537D"/>
    <w:rsid w:val="00975700"/>
    <w:rsid w:val="00980A32"/>
    <w:rsid w:val="009B380F"/>
    <w:rsid w:val="009B5B1E"/>
    <w:rsid w:val="009C1DD1"/>
    <w:rsid w:val="009D6753"/>
    <w:rsid w:val="009E5A76"/>
    <w:rsid w:val="009F1DEC"/>
    <w:rsid w:val="00A02610"/>
    <w:rsid w:val="00A07C80"/>
    <w:rsid w:val="00A173BE"/>
    <w:rsid w:val="00A30D18"/>
    <w:rsid w:val="00A44BAD"/>
    <w:rsid w:val="00A55098"/>
    <w:rsid w:val="00A778A0"/>
    <w:rsid w:val="00AA2621"/>
    <w:rsid w:val="00AA6B7F"/>
    <w:rsid w:val="00AA6C0A"/>
    <w:rsid w:val="00AB30F5"/>
    <w:rsid w:val="00AE017A"/>
    <w:rsid w:val="00B01F29"/>
    <w:rsid w:val="00B0317D"/>
    <w:rsid w:val="00B05059"/>
    <w:rsid w:val="00B2567F"/>
    <w:rsid w:val="00B2737F"/>
    <w:rsid w:val="00B32C71"/>
    <w:rsid w:val="00B50186"/>
    <w:rsid w:val="00B7033A"/>
    <w:rsid w:val="00B80D5F"/>
    <w:rsid w:val="00BB6058"/>
    <w:rsid w:val="00BD27F6"/>
    <w:rsid w:val="00C04392"/>
    <w:rsid w:val="00C27AC1"/>
    <w:rsid w:val="00C35E80"/>
    <w:rsid w:val="00C35FAB"/>
    <w:rsid w:val="00C94432"/>
    <w:rsid w:val="00CB33C1"/>
    <w:rsid w:val="00CC2DF5"/>
    <w:rsid w:val="00CC7B57"/>
    <w:rsid w:val="00CD1A18"/>
    <w:rsid w:val="00CD5BEF"/>
    <w:rsid w:val="00D10069"/>
    <w:rsid w:val="00D161DA"/>
    <w:rsid w:val="00D305C1"/>
    <w:rsid w:val="00D51660"/>
    <w:rsid w:val="00D522A5"/>
    <w:rsid w:val="00D54223"/>
    <w:rsid w:val="00D66B80"/>
    <w:rsid w:val="00D84A27"/>
    <w:rsid w:val="00DA1201"/>
    <w:rsid w:val="00DA47AC"/>
    <w:rsid w:val="00DC252D"/>
    <w:rsid w:val="00DC595B"/>
    <w:rsid w:val="00DE2249"/>
    <w:rsid w:val="00DF2338"/>
    <w:rsid w:val="00DF4E9A"/>
    <w:rsid w:val="00DF5DEE"/>
    <w:rsid w:val="00E15779"/>
    <w:rsid w:val="00E16E09"/>
    <w:rsid w:val="00E27105"/>
    <w:rsid w:val="00E27921"/>
    <w:rsid w:val="00E52227"/>
    <w:rsid w:val="00E540BC"/>
    <w:rsid w:val="00E65225"/>
    <w:rsid w:val="00E663FC"/>
    <w:rsid w:val="00E91E9E"/>
    <w:rsid w:val="00EB4239"/>
    <w:rsid w:val="00EB4F04"/>
    <w:rsid w:val="00EB51C7"/>
    <w:rsid w:val="00EC03FE"/>
    <w:rsid w:val="00EC4B98"/>
    <w:rsid w:val="00ED3AAF"/>
    <w:rsid w:val="00ED4D05"/>
    <w:rsid w:val="00EE0067"/>
    <w:rsid w:val="00F079B5"/>
    <w:rsid w:val="00F24C59"/>
    <w:rsid w:val="00F36943"/>
    <w:rsid w:val="00F466F5"/>
    <w:rsid w:val="00F46AB6"/>
    <w:rsid w:val="00F50CD6"/>
    <w:rsid w:val="00F65858"/>
    <w:rsid w:val="00F91503"/>
    <w:rsid w:val="00F93274"/>
    <w:rsid w:val="00FB041E"/>
    <w:rsid w:val="00FB2EE3"/>
    <w:rsid w:val="00FD3EB9"/>
    <w:rsid w:val="00FF3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C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12C5"/>
    <w:pPr>
      <w:tabs>
        <w:tab w:val="center" w:pos="4536"/>
        <w:tab w:val="right" w:pos="9072"/>
      </w:tabs>
    </w:pPr>
  </w:style>
  <w:style w:type="paragraph" w:styleId="Pieddepage">
    <w:name w:val="footer"/>
    <w:basedOn w:val="Normal"/>
    <w:rsid w:val="000B12C5"/>
    <w:pPr>
      <w:tabs>
        <w:tab w:val="center" w:pos="4536"/>
        <w:tab w:val="right" w:pos="9072"/>
      </w:tabs>
    </w:pPr>
  </w:style>
  <w:style w:type="table" w:styleId="Grilledutableau">
    <w:name w:val="Table Grid"/>
    <w:basedOn w:val="TableauNormal"/>
    <w:rsid w:val="000B1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cauteurs">
    <w:name w:val="aic:auteurs"/>
    <w:basedOn w:val="Normal"/>
    <w:rsid w:val="00806DBF"/>
    <w:pPr>
      <w:suppressAutoHyphens/>
      <w:spacing w:after="220"/>
      <w:ind w:firstLine="284"/>
      <w:jc w:val="center"/>
    </w:pPr>
    <w:rPr>
      <w:sz w:val="20"/>
      <w:szCs w:val="20"/>
    </w:rPr>
  </w:style>
  <w:style w:type="paragraph" w:customStyle="1" w:styleId="RNTIAuteursAdresses">
    <w:name w:val="RNTI Auteurs Adresses"/>
    <w:basedOn w:val="Normal"/>
    <w:rsid w:val="00806DBF"/>
    <w:pPr>
      <w:jc w:val="center"/>
    </w:pPr>
    <w:rPr>
      <w:sz w:val="20"/>
    </w:rPr>
  </w:style>
  <w:style w:type="character" w:styleId="Lienhypertexte">
    <w:name w:val="Hyperlink"/>
    <w:basedOn w:val="Policepardfaut"/>
    <w:rsid w:val="00FB2EE3"/>
    <w:rPr>
      <w:color w:val="0000FF"/>
      <w:u w:val="single"/>
    </w:rPr>
  </w:style>
  <w:style w:type="paragraph" w:styleId="NormalWeb">
    <w:name w:val="Normal (Web)"/>
    <w:basedOn w:val="Normal"/>
    <w:rsid w:val="00931E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C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B12C5"/>
    <w:pPr>
      <w:tabs>
        <w:tab w:val="center" w:pos="4536"/>
        <w:tab w:val="right" w:pos="9072"/>
      </w:tabs>
    </w:pPr>
  </w:style>
  <w:style w:type="paragraph" w:styleId="Pieddepage">
    <w:name w:val="footer"/>
    <w:basedOn w:val="Normal"/>
    <w:rsid w:val="000B12C5"/>
    <w:pPr>
      <w:tabs>
        <w:tab w:val="center" w:pos="4536"/>
        <w:tab w:val="right" w:pos="9072"/>
      </w:tabs>
    </w:pPr>
  </w:style>
  <w:style w:type="table" w:styleId="Grilledutableau">
    <w:name w:val="Table Grid"/>
    <w:basedOn w:val="TableauNormal"/>
    <w:rsid w:val="000B1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cauteurs">
    <w:name w:val="aic:auteurs"/>
    <w:basedOn w:val="Normal"/>
    <w:rsid w:val="00806DBF"/>
    <w:pPr>
      <w:suppressAutoHyphens/>
      <w:spacing w:after="220"/>
      <w:ind w:firstLine="284"/>
      <w:jc w:val="center"/>
    </w:pPr>
    <w:rPr>
      <w:sz w:val="20"/>
      <w:szCs w:val="20"/>
    </w:rPr>
  </w:style>
  <w:style w:type="paragraph" w:customStyle="1" w:styleId="RNTIAuteursAdresses">
    <w:name w:val="RNTI Auteurs Adresses"/>
    <w:basedOn w:val="Normal"/>
    <w:rsid w:val="00806DBF"/>
    <w:pPr>
      <w:jc w:val="center"/>
    </w:pPr>
    <w:rPr>
      <w:sz w:val="20"/>
    </w:rPr>
  </w:style>
  <w:style w:type="character" w:styleId="Lienhypertexte">
    <w:name w:val="Hyperlink"/>
    <w:basedOn w:val="Policepardfaut"/>
    <w:rsid w:val="00FB2EE3"/>
    <w:rPr>
      <w:color w:val="0000FF"/>
      <w:u w:val="single"/>
    </w:rPr>
  </w:style>
  <w:style w:type="paragraph" w:styleId="NormalWeb">
    <w:name w:val="Normal (Web)"/>
    <w:basedOn w:val="Normal"/>
    <w:rsid w:val="00931E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esse-electronique-du-communicant@courriel.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Congrès International « 10ème anniversaire de la MSHS » 16-18 septembre 2008</vt:lpstr>
    </vt:vector>
  </TitlesOfParts>
  <Company>mshs</Company>
  <LinksUpToDate>false</LinksUpToDate>
  <CharactersWithSpaces>8934</CharactersWithSpaces>
  <SharedDoc>false</SharedDoc>
  <HLinks>
    <vt:vector size="6" baseType="variant">
      <vt:variant>
        <vt:i4>6422532</vt:i4>
      </vt:variant>
      <vt:variant>
        <vt:i4>0</vt:i4>
      </vt:variant>
      <vt:variant>
        <vt:i4>0</vt:i4>
      </vt:variant>
      <vt:variant>
        <vt:i4>5</vt:i4>
      </vt:variant>
      <vt:variant>
        <vt:lpwstr>mailto:adresse-electronique-du-communicant@courriel.fr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Congrès International « 10ème anniversaire de la MSHS » 16-18 septembre 2008</dc:title>
  <dc:creator>HIRECH</dc:creator>
  <cp:lastModifiedBy>Gilles Dewailly</cp:lastModifiedBy>
  <cp:revision>4</cp:revision>
  <cp:lastPrinted>2007-10-01T07:51:00Z</cp:lastPrinted>
  <dcterms:created xsi:type="dcterms:W3CDTF">2012-05-04T09:37:00Z</dcterms:created>
  <dcterms:modified xsi:type="dcterms:W3CDTF">2012-05-04T10:05:00Z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-272773080</vt:i4>
  </property>
  <property fmtid="{D5CDD505-2E9C-101B-9397-08002B2CF9AE}" pid="3" name="_EmailSubject">
    <vt:lpwstr>Appel à communication Congrès MSHS</vt:lpwstr>
  </property>
  <property fmtid="{D5CDD505-2E9C-101B-9397-08002B2CF9AE}" pid="4" name="_AuthorEmail">
    <vt:lpwstr>khaled.hirech@mshs.univ-poitiers.fr</vt:lpwstr>
  </property>
  <property fmtid="{D5CDD505-2E9C-101B-9397-08002B2CF9AE}" pid="5" name="_AuthorEmailDisplayName">
    <vt:lpwstr>Khaled Hirech</vt:lpwstr>
  </property>
  <property fmtid="{D5CDD505-2E9C-101B-9397-08002B2CF9AE}" pid="6" name="_ReviewingToolsShownOnce">
    <vt:lpwstr/>
  </property>
</Properties>
</file>